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0793E778"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B75285">
        <w:rPr>
          <w:lang w:val="lv-LV"/>
        </w:rPr>
        <w:t>2</w:t>
      </w:r>
      <w:r w:rsidR="00E34355" w:rsidRPr="00294139">
        <w:rPr>
          <w:lang w:val="lv-LV"/>
        </w:rPr>
        <w:t>6</w:t>
      </w:r>
      <w:r w:rsidR="00A66B9C" w:rsidRPr="00294139">
        <w:rPr>
          <w:lang w:val="lv-LV"/>
        </w:rPr>
        <w:t>.</w:t>
      </w:r>
      <w:r w:rsidR="00B75285">
        <w:rPr>
          <w:lang w:val="lv-LV"/>
        </w:rPr>
        <w:t>marta</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1D6A3A" w:rsidRDefault="00FC36E4" w:rsidP="00683BA8">
      <w:pPr>
        <w:jc w:val="center"/>
        <w:rPr>
          <w:bCs/>
          <w:lang w:val="lv-LV"/>
        </w:rPr>
      </w:pPr>
      <w:r w:rsidRPr="001D6A3A">
        <w:rPr>
          <w:bCs/>
          <w:lang w:val="lv-LV"/>
        </w:rPr>
        <w:t>LATVIJAS</w:t>
      </w:r>
      <w:r w:rsidR="00F23AF1" w:rsidRPr="001D6A3A">
        <w:rPr>
          <w:bCs/>
          <w:sz w:val="22"/>
          <w:szCs w:val="22"/>
          <w:lang w:val="lv-LV"/>
        </w:rPr>
        <w:t xml:space="preserve"> </w:t>
      </w:r>
      <w:r w:rsidR="00F23AF1" w:rsidRPr="001D6A3A">
        <w:rPr>
          <w:bCs/>
          <w:lang w:val="lv-LV"/>
        </w:rPr>
        <w:t>UNIVERSITĀTES</w:t>
      </w:r>
      <w:r w:rsidRPr="001D6A3A">
        <w:rPr>
          <w:bCs/>
          <w:lang w:val="lv-LV"/>
        </w:rPr>
        <w:t xml:space="preserve"> CIETVIELU FIZIKAS INSTITŪTS</w:t>
      </w:r>
      <w:r w:rsidR="00F23AF1" w:rsidRPr="001D6A3A">
        <w:rPr>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474A069B" w:rsidR="004D3809" w:rsidRPr="00B75285" w:rsidRDefault="00126800" w:rsidP="005A160B">
      <w:pPr>
        <w:jc w:val="center"/>
        <w:rPr>
          <w:rFonts w:ascii="Times New Roman Bold" w:hAnsi="Times New Roman Bold"/>
          <w:b/>
          <w:caps/>
          <w:lang w:val="lv-LV"/>
        </w:rPr>
      </w:pPr>
      <w:r w:rsidRPr="00B75285">
        <w:rPr>
          <w:rFonts w:ascii="Times New Roman Bold" w:hAnsi="Times New Roman Bold"/>
          <w:b/>
          <w:caps/>
          <w:lang w:val="lv-LV"/>
        </w:rPr>
        <w:t>“</w:t>
      </w:r>
      <w:r w:rsidR="00271237" w:rsidRPr="00271237">
        <w:rPr>
          <w:rFonts w:ascii="Times New Roman Bold" w:hAnsi="Times New Roman Bold"/>
          <w:b/>
          <w:caps/>
          <w:lang w:val="lv-LV"/>
        </w:rPr>
        <w:t>Rentgena difraktometra rutīnas mērījumiem piegāde</w:t>
      </w:r>
      <w:r w:rsidRPr="00B75285">
        <w:rPr>
          <w:rFonts w:ascii="Times New Roman Bold" w:hAnsi="Times New Roman Bold"/>
          <w:b/>
          <w:caps/>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00EB1B88" w:rsidR="00472833" w:rsidRPr="005C44BD" w:rsidRDefault="005A160B" w:rsidP="00683BA8">
      <w:pPr>
        <w:jc w:val="center"/>
        <w:rPr>
          <w:lang w:val="lv-LV"/>
        </w:rPr>
      </w:pPr>
      <w:proofErr w:type="spellStart"/>
      <w:r w:rsidRPr="005C44BD">
        <w:rPr>
          <w:b/>
          <w:lang w:val="lv-LV"/>
        </w:rPr>
        <w:t>Id</w:t>
      </w:r>
      <w:proofErr w:type="spellEnd"/>
      <w:r w:rsidRPr="005C44BD">
        <w:rPr>
          <w:b/>
          <w:lang w:val="lv-LV"/>
        </w:rPr>
        <w:t>. Nr. LU CFI 2018/</w:t>
      </w:r>
      <w:r w:rsidR="00B75285">
        <w:rPr>
          <w:b/>
          <w:lang w:val="lv-LV"/>
        </w:rPr>
        <w:t>1</w:t>
      </w:r>
      <w:r w:rsidR="00792259">
        <w:rPr>
          <w:b/>
          <w:lang w:val="lv-LV"/>
        </w:rPr>
        <w:t>6</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4EC0B1A3"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75285">
        <w:rPr>
          <w:sz w:val="22"/>
          <w:szCs w:val="22"/>
          <w:lang w:val="lv-LV"/>
        </w:rPr>
        <w:t>1</w:t>
      </w:r>
      <w:r w:rsidR="00792259">
        <w:rPr>
          <w:sz w:val="22"/>
          <w:szCs w:val="22"/>
          <w:lang w:val="lv-LV"/>
        </w:rPr>
        <w:t>6</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 xml:space="preserve">Izglītības iestādes </w:t>
      </w:r>
      <w:proofErr w:type="spellStart"/>
      <w:r w:rsidRPr="005C44BD">
        <w:rPr>
          <w:sz w:val="22"/>
          <w:szCs w:val="22"/>
          <w:lang w:val="lv-LV"/>
        </w:rPr>
        <w:t>R</w:t>
      </w:r>
      <w:r w:rsidR="00216295" w:rsidRPr="005C44BD">
        <w:rPr>
          <w:sz w:val="22"/>
          <w:szCs w:val="22"/>
          <w:lang w:val="lv-LV"/>
        </w:rPr>
        <w:t>eģ</w:t>
      </w:r>
      <w:proofErr w:type="spellEnd"/>
      <w:r w:rsidR="00216295" w:rsidRPr="005C44BD">
        <w:rPr>
          <w:sz w:val="22"/>
          <w:szCs w:val="22"/>
          <w:lang w:val="lv-LV"/>
        </w:rPr>
        <w:t xml:space="preserve">.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7CB1CA5F" w:rsidR="00AD6801" w:rsidRPr="00271237" w:rsidRDefault="00B82CDD" w:rsidP="00E34355">
      <w:pPr>
        <w:numPr>
          <w:ilvl w:val="1"/>
          <w:numId w:val="4"/>
        </w:numPr>
        <w:suppressAutoHyphens w:val="0"/>
        <w:ind w:left="567" w:hanging="567"/>
        <w:jc w:val="both"/>
        <w:rPr>
          <w:color w:val="000000"/>
          <w:spacing w:val="-1"/>
          <w:sz w:val="22"/>
          <w:szCs w:val="22"/>
          <w:lang w:val="lv-LV"/>
        </w:rPr>
      </w:pPr>
      <w:r w:rsidRPr="00271237">
        <w:rPr>
          <w:b/>
          <w:bCs/>
          <w:color w:val="000000"/>
          <w:spacing w:val="-1"/>
          <w:sz w:val="22"/>
          <w:szCs w:val="22"/>
          <w:lang w:val="lv-LV"/>
        </w:rPr>
        <w:t xml:space="preserve">Konkurss - </w:t>
      </w:r>
      <w:r w:rsidRPr="00271237">
        <w:rPr>
          <w:color w:val="000000"/>
          <w:spacing w:val="-1"/>
          <w:sz w:val="22"/>
          <w:szCs w:val="22"/>
          <w:lang w:val="lv-LV"/>
        </w:rPr>
        <w:t xml:space="preserve">Atklāts konkurss </w:t>
      </w:r>
      <w:r w:rsidR="00A66B9C" w:rsidRPr="00271237">
        <w:rPr>
          <w:color w:val="000000"/>
          <w:spacing w:val="-1"/>
          <w:sz w:val="22"/>
          <w:szCs w:val="22"/>
          <w:lang w:val="lv-LV"/>
        </w:rPr>
        <w:t>“</w:t>
      </w:r>
      <w:r w:rsidR="00271237" w:rsidRPr="00271237">
        <w:rPr>
          <w:color w:val="000000"/>
          <w:spacing w:val="-1"/>
          <w:sz w:val="22"/>
          <w:szCs w:val="22"/>
          <w:lang w:val="lv-LV"/>
        </w:rPr>
        <w:t xml:space="preserve">Rentgena </w:t>
      </w:r>
      <w:proofErr w:type="spellStart"/>
      <w:r w:rsidR="00271237" w:rsidRPr="00271237">
        <w:rPr>
          <w:color w:val="000000"/>
          <w:spacing w:val="-1"/>
          <w:sz w:val="22"/>
          <w:szCs w:val="22"/>
          <w:lang w:val="lv-LV"/>
        </w:rPr>
        <w:t>difraktometra</w:t>
      </w:r>
      <w:proofErr w:type="spellEnd"/>
      <w:r w:rsidR="00271237" w:rsidRPr="00271237">
        <w:rPr>
          <w:color w:val="000000"/>
          <w:spacing w:val="-1"/>
          <w:sz w:val="22"/>
          <w:szCs w:val="22"/>
          <w:lang w:val="lv-LV"/>
        </w:rPr>
        <w:t xml:space="preserve"> rutīnas mērījumiem piegāde</w:t>
      </w:r>
      <w:r w:rsidR="00E34355" w:rsidRPr="00271237">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 xml:space="preserve">Laboratorijas, optiskās un </w:t>
      </w:r>
      <w:proofErr w:type="spellStart"/>
      <w:r w:rsidR="00EB61A7" w:rsidRPr="00DA79CB">
        <w:rPr>
          <w:color w:val="000000"/>
          <w:spacing w:val="-1"/>
          <w:sz w:val="22"/>
          <w:szCs w:val="22"/>
          <w:lang w:val="lv-LV"/>
        </w:rPr>
        <w:t>precīzijas</w:t>
      </w:r>
      <w:proofErr w:type="spellEnd"/>
      <w:r w:rsidR="00EB61A7" w:rsidRPr="00DA79CB">
        <w:rPr>
          <w:color w:val="000000"/>
          <w:spacing w:val="-1"/>
          <w:sz w:val="22"/>
          <w:szCs w:val="22"/>
          <w:lang w:val="lv-LV"/>
        </w:rPr>
        <w:t xml:space="preserve">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lastRenderedPageBreak/>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w:t>
      </w:r>
      <w:proofErr w:type="spellStart"/>
      <w:r w:rsidR="00FC36E4" w:rsidRPr="005C44BD">
        <w:rPr>
          <w:sz w:val="22"/>
          <w:szCs w:val="22"/>
          <w:lang w:val="lv-LV"/>
        </w:rPr>
        <w:t>Lācenberga-Rocēna</w:t>
      </w:r>
      <w:proofErr w:type="spellEnd"/>
      <w:r w:rsidR="00FC36E4" w:rsidRPr="005C44BD">
        <w:rPr>
          <w:sz w:val="22"/>
          <w:szCs w:val="22"/>
          <w:lang w:val="lv-LV"/>
        </w:rPr>
        <w:t xml:space="preserve">, tālr. 29141994, e-pasts: </w:t>
      </w:r>
      <w:hyperlink r:id="rId10"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12114033"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w:t>
      </w:r>
      <w:r w:rsidRPr="00B75285">
        <w:rPr>
          <w:b/>
          <w:sz w:val="22"/>
          <w:szCs w:val="22"/>
          <w:lang w:val="lv-LV" w:eastAsia="ar-SA"/>
        </w:rPr>
        <w:t xml:space="preserve">2018.gada </w:t>
      </w:r>
      <w:r w:rsidR="00B75285" w:rsidRPr="00B75285">
        <w:rPr>
          <w:b/>
          <w:sz w:val="22"/>
          <w:szCs w:val="22"/>
          <w:lang w:val="lv-LV" w:eastAsia="ar-SA"/>
        </w:rPr>
        <w:t>3.maijam</w:t>
      </w:r>
      <w:r w:rsidRPr="00B75285">
        <w:rPr>
          <w:b/>
          <w:sz w:val="22"/>
          <w:szCs w:val="22"/>
          <w:lang w:val="lv-LV" w:eastAsia="ar-SA"/>
        </w:rPr>
        <w:t xml:space="preserve"> plkst.11:00</w:t>
      </w:r>
      <w:r w:rsidRPr="00DA79CB">
        <w:rPr>
          <w:sz w:val="22"/>
          <w:szCs w:val="22"/>
          <w:lang w:val="lv-LV" w:eastAsia="ar-SA"/>
        </w:rPr>
        <w:t xml:space="preserve"> LU CFI Sekretariātā – 204. telpā, 2.stāvā, Ķengaraga ielā 8, Rīgā, LV-1063, darba dienās no 9:00 līdz 17:00. Piedāvājumu var nosūtīt pa pastu, kurjera pastu vai </w:t>
      </w:r>
      <w:r w:rsidR="00B75285">
        <w:rPr>
          <w:sz w:val="22"/>
          <w:szCs w:val="22"/>
          <w:lang w:val="lv-LV" w:eastAsia="ar-SA"/>
        </w:rPr>
        <w:t>iesnie</w:t>
      </w:r>
      <w:r w:rsidR="00981483" w:rsidRPr="00DA79CB">
        <w:rPr>
          <w:sz w:val="22"/>
          <w:szCs w:val="22"/>
          <w:lang w:val="lv-LV" w:eastAsia="ar-SA"/>
        </w:rPr>
        <w:t xml:space="preserve">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3871E03"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 xml:space="preserve">Piedāvājumu atvēršanas notiks 2018.gada </w:t>
      </w:r>
      <w:r w:rsidR="00B75285">
        <w:rPr>
          <w:sz w:val="22"/>
          <w:szCs w:val="22"/>
          <w:lang w:val="lv-LV"/>
        </w:rPr>
        <w:t>3.maijā</w:t>
      </w:r>
      <w:r w:rsidRPr="00DA79CB">
        <w:rPr>
          <w:sz w:val="22"/>
          <w:szCs w:val="22"/>
          <w:lang w:val="lv-LV"/>
        </w:rPr>
        <w:t xml:space="preserve">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r w:rsidRPr="003A36F1">
        <w:rPr>
          <w:sz w:val="22"/>
          <w:szCs w:val="22"/>
        </w:rPr>
        <w:t>pretendenta</w:t>
      </w:r>
      <w:proofErr w:type="spell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r w:rsidRPr="00A541AE">
        <w:rPr>
          <w:sz w:val="22"/>
          <w:szCs w:val="22"/>
        </w:rPr>
        <w:t>pielikuma</w:t>
      </w:r>
      <w:proofErr w:type="spell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r>
        <w:rPr>
          <w:sz w:val="22"/>
          <w:szCs w:val="22"/>
        </w:rPr>
        <w:t>pielikumam</w:t>
      </w:r>
      <w:proofErr w:type="spell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xml:space="preserve">. Ja piedāvājumu iesniedz Pretendentu apvienība, vai personālsabiedrība, piedāvājumā papildus norāda personu, kura iepirkumā pārstāv attiecīgo Pretendenta apvienību vai personālsabiedrību, kā </w:t>
      </w:r>
      <w:r w:rsidRPr="002757F7">
        <w:rPr>
          <w:sz w:val="22"/>
          <w:szCs w:val="22"/>
          <w:lang w:val="lv-LV"/>
        </w:rPr>
        <w:lastRenderedPageBreak/>
        <w:t xml:space="preserve">arī katras personas atbildības sadalījumu. Piedāvājumu paraksta </w:t>
      </w:r>
      <w:proofErr w:type="spellStart"/>
      <w:r w:rsidRPr="002757F7">
        <w:rPr>
          <w:sz w:val="22"/>
          <w:szCs w:val="22"/>
          <w:lang w:val="lv-LV"/>
        </w:rPr>
        <w:t>paraksttiesīga</w:t>
      </w:r>
      <w:proofErr w:type="spellEnd"/>
      <w:r w:rsidRPr="002757F7">
        <w:rPr>
          <w:sz w:val="22"/>
          <w:szCs w:val="22"/>
          <w:lang w:val="lv-LV"/>
        </w:rPr>
        <w:t xml:space="preserve">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w:t>
      </w:r>
      <w:proofErr w:type="spellStart"/>
      <w:r w:rsidRPr="003A36F1">
        <w:rPr>
          <w:sz w:val="22"/>
          <w:szCs w:val="22"/>
        </w:rPr>
        <w:t>cauršūtiem</w:t>
      </w:r>
      <w:proofErr w:type="spellEnd"/>
      <w:r w:rsidRPr="003A36F1">
        <w:rPr>
          <w:sz w:val="22"/>
          <w:szCs w:val="22"/>
        </w:rPr>
        <w:t xml:space="preserve"> vai caurauklotiem tā, lai dokumentus nebūtu iespējams atdalīt. Piedāvājuma lapām jābūt numurētām. Uz pēdējās lapas aizmugures jānorāda </w:t>
      </w:r>
      <w:proofErr w:type="spellStart"/>
      <w:r w:rsidRPr="003A36F1">
        <w:rPr>
          <w:sz w:val="22"/>
          <w:szCs w:val="22"/>
        </w:rPr>
        <w:t>cauršūto</w:t>
      </w:r>
      <w:proofErr w:type="spellEnd"/>
      <w:r w:rsidRPr="003A36F1">
        <w:rPr>
          <w:sz w:val="22"/>
          <w:szCs w:val="22"/>
        </w:rPr>
        <w:t xml:space="preserve"> lapu 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271237"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70FF46D8" w:rsidR="00B31D8F" w:rsidRPr="00DA79CB" w:rsidRDefault="00B31D8F" w:rsidP="00294139">
            <w:pPr>
              <w:pStyle w:val="Header"/>
              <w:tabs>
                <w:tab w:val="clear" w:pos="8306"/>
              </w:tabs>
              <w:jc w:val="center"/>
              <w:rPr>
                <w:sz w:val="22"/>
                <w:szCs w:val="22"/>
              </w:rPr>
            </w:pPr>
            <w:r w:rsidRPr="00DA79CB">
              <w:rPr>
                <w:sz w:val="22"/>
                <w:szCs w:val="22"/>
              </w:rPr>
              <w:t>“</w:t>
            </w:r>
            <w:r w:rsidR="00271237" w:rsidRPr="00271237">
              <w:rPr>
                <w:rFonts w:eastAsiaTheme="minorHAnsi"/>
                <w:sz w:val="22"/>
                <w:szCs w:val="22"/>
                <w:lang w:eastAsia="en-US"/>
              </w:rPr>
              <w:t xml:space="preserve"> </w:t>
            </w:r>
            <w:proofErr w:type="spellStart"/>
            <w:r w:rsidR="00271237" w:rsidRPr="00271237">
              <w:rPr>
                <w:sz w:val="22"/>
                <w:szCs w:val="22"/>
                <w:lang w:val="en-GB"/>
              </w:rPr>
              <w:t>Rentgena</w:t>
            </w:r>
            <w:proofErr w:type="spellEnd"/>
            <w:r w:rsidR="00271237" w:rsidRPr="00271237">
              <w:rPr>
                <w:sz w:val="22"/>
                <w:szCs w:val="22"/>
                <w:lang w:val="en-GB"/>
              </w:rPr>
              <w:t xml:space="preserve"> </w:t>
            </w:r>
            <w:proofErr w:type="spellStart"/>
            <w:r w:rsidR="00271237" w:rsidRPr="00271237">
              <w:rPr>
                <w:sz w:val="22"/>
                <w:szCs w:val="22"/>
                <w:lang w:val="en-GB"/>
              </w:rPr>
              <w:t>difraktometra</w:t>
            </w:r>
            <w:proofErr w:type="spellEnd"/>
            <w:r w:rsidR="00271237" w:rsidRPr="00271237">
              <w:rPr>
                <w:sz w:val="22"/>
                <w:szCs w:val="22"/>
                <w:lang w:val="en-GB"/>
              </w:rPr>
              <w:t xml:space="preserve"> </w:t>
            </w:r>
            <w:proofErr w:type="spellStart"/>
            <w:r w:rsidR="00271237" w:rsidRPr="00271237">
              <w:rPr>
                <w:sz w:val="22"/>
                <w:szCs w:val="22"/>
                <w:lang w:val="en-GB"/>
              </w:rPr>
              <w:t>rutīnas</w:t>
            </w:r>
            <w:proofErr w:type="spellEnd"/>
            <w:r w:rsidR="00271237" w:rsidRPr="00271237">
              <w:rPr>
                <w:sz w:val="22"/>
                <w:szCs w:val="22"/>
                <w:lang w:val="en-GB"/>
              </w:rPr>
              <w:t xml:space="preserve"> </w:t>
            </w:r>
            <w:proofErr w:type="spellStart"/>
            <w:r w:rsidR="00271237" w:rsidRPr="00271237">
              <w:rPr>
                <w:sz w:val="22"/>
                <w:szCs w:val="22"/>
                <w:lang w:val="en-GB"/>
              </w:rPr>
              <w:t>mērījumiem</w:t>
            </w:r>
            <w:proofErr w:type="spellEnd"/>
            <w:r w:rsidR="00271237" w:rsidRPr="00271237">
              <w:rPr>
                <w:sz w:val="22"/>
                <w:szCs w:val="22"/>
                <w:lang w:val="en-GB"/>
              </w:rPr>
              <w:t xml:space="preserve"> </w:t>
            </w:r>
            <w:proofErr w:type="spellStart"/>
            <w:r w:rsidR="00271237" w:rsidRPr="00271237">
              <w:rPr>
                <w:sz w:val="22"/>
                <w:szCs w:val="22"/>
                <w:lang w:val="en-GB"/>
              </w:rPr>
              <w:t>piegāde</w:t>
            </w:r>
            <w:proofErr w:type="spellEnd"/>
            <w:r w:rsidR="00271237" w:rsidRPr="00271237">
              <w:rPr>
                <w:sz w:val="22"/>
                <w:szCs w:val="22"/>
                <w:lang w:val="en-GB"/>
              </w:rPr>
              <w:t xml:space="preserve"> </w:t>
            </w:r>
            <w:bookmarkStart w:id="0" w:name="_GoBack"/>
            <w:bookmarkEnd w:id="0"/>
            <w:r w:rsidRPr="00DA79CB">
              <w:rPr>
                <w:sz w:val="22"/>
                <w:szCs w:val="22"/>
              </w:rPr>
              <w:t xml:space="preserve">” </w:t>
            </w:r>
          </w:p>
          <w:p w14:paraId="69C50533" w14:textId="5C6EADD9"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B75285">
              <w:rPr>
                <w:sz w:val="22"/>
                <w:szCs w:val="22"/>
              </w:rPr>
              <w:t>1</w:t>
            </w:r>
            <w:r w:rsidR="00271237">
              <w:rPr>
                <w:sz w:val="22"/>
                <w:szCs w:val="22"/>
              </w:rPr>
              <w:t>6</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1BA1D17F" w:rsidR="00B31D8F" w:rsidRPr="003A36F1" w:rsidRDefault="00B31D8F" w:rsidP="00294139">
            <w:pPr>
              <w:tabs>
                <w:tab w:val="num" w:pos="540"/>
              </w:tabs>
              <w:ind w:left="540" w:right="26" w:hanging="540"/>
              <w:jc w:val="center"/>
              <w:rPr>
                <w:b/>
                <w:bCs/>
                <w:sz w:val="22"/>
                <w:szCs w:val="22"/>
                <w:lang w:val="lv-LV"/>
              </w:rPr>
            </w:pPr>
            <w:r w:rsidRPr="00DA79CB">
              <w:rPr>
                <w:b/>
                <w:bCs/>
                <w:sz w:val="22"/>
                <w:szCs w:val="22"/>
                <w:lang w:val="lv-LV"/>
              </w:rPr>
              <w:t>Neatvērt  līdz  201</w:t>
            </w:r>
            <w:r w:rsidR="00E34355" w:rsidRPr="00DA79CB">
              <w:rPr>
                <w:b/>
                <w:bCs/>
                <w:sz w:val="22"/>
                <w:szCs w:val="22"/>
                <w:lang w:val="lv-LV"/>
              </w:rPr>
              <w:t>8</w:t>
            </w:r>
            <w:r w:rsidRPr="00DA79CB">
              <w:rPr>
                <w:b/>
                <w:bCs/>
                <w:sz w:val="22"/>
                <w:szCs w:val="22"/>
                <w:lang w:val="lv-LV"/>
              </w:rPr>
              <w:t xml:space="preserve">.gada </w:t>
            </w:r>
            <w:r w:rsidR="00B75285">
              <w:rPr>
                <w:b/>
                <w:bCs/>
                <w:sz w:val="22"/>
                <w:szCs w:val="22"/>
                <w:lang w:val="lv-LV"/>
              </w:rPr>
              <w:t>3</w:t>
            </w:r>
            <w:r w:rsidRPr="00DA79CB">
              <w:rPr>
                <w:b/>
                <w:bCs/>
                <w:sz w:val="22"/>
                <w:szCs w:val="22"/>
                <w:lang w:val="lv-LV"/>
              </w:rPr>
              <w:t>.</w:t>
            </w:r>
            <w:r w:rsidR="00B75285">
              <w:rPr>
                <w:b/>
                <w:bCs/>
                <w:sz w:val="22"/>
                <w:szCs w:val="22"/>
                <w:lang w:val="lv-LV"/>
              </w:rPr>
              <w:t>maijam</w:t>
            </w:r>
            <w:r w:rsidRPr="00DA79CB">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lastRenderedPageBreak/>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71237"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271237"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271237"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271237"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lastRenderedPageBreak/>
        <w:t>Konkursa Nolikuma 4.6.</w:t>
      </w:r>
      <w:r w:rsidR="006164A5" w:rsidRPr="005C44BD">
        <w:t xml:space="preserve"> punktā minētais Eiropas vienotais iepirkuma procedūras dokuments ir pieejams aizpildīšanai .</w:t>
      </w:r>
      <w:proofErr w:type="spellStart"/>
      <w:r w:rsidR="006164A5" w:rsidRPr="005C44BD">
        <w:t>doc</w:t>
      </w:r>
      <w:proofErr w:type="spellEnd"/>
      <w:r w:rsidR="006164A5" w:rsidRPr="005C44BD">
        <w:t xml:space="preserve">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lastRenderedPageBreak/>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proofErr w:type="spellStart"/>
      <w:r w:rsidR="00BE6C2C" w:rsidRPr="005C44BD">
        <w:rPr>
          <w:sz w:val="22"/>
          <w:szCs w:val="22"/>
          <w:lang w:val="lv-LV"/>
        </w:rPr>
        <w:t>vs</w:t>
      </w:r>
      <w:r w:rsidR="00B30C93" w:rsidRPr="005C44BD">
        <w:rPr>
          <w:sz w:val="22"/>
          <w:szCs w:val="22"/>
          <w:lang w:val="lv-LV"/>
        </w:rPr>
        <w:t>izdevīgāko</w:t>
      </w:r>
      <w:proofErr w:type="spellEnd"/>
      <w:r w:rsidR="00B30C93" w:rsidRPr="005C44BD">
        <w:rPr>
          <w:sz w:val="22"/>
          <w:szCs w:val="22"/>
          <w:lang w:val="lv-LV"/>
        </w:rPr>
        <w:t xml:space="preserve">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DC0CD5">
      <w:footerReference w:type="even" r:id="rId13"/>
      <w:footerReference w:type="default" r:id="rId14"/>
      <w:pgSz w:w="11906" w:h="16838"/>
      <w:pgMar w:top="1440" w:right="1440" w:bottom="1440" w:left="1800"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EC10" w14:textId="77777777" w:rsidR="00532357" w:rsidRDefault="00532357">
      <w:r>
        <w:separator/>
      </w:r>
    </w:p>
  </w:endnote>
  <w:endnote w:type="continuationSeparator" w:id="0">
    <w:p w14:paraId="4A2B53E7" w14:textId="77777777" w:rsidR="00532357" w:rsidRDefault="005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426713" w:rsidRDefault="0042671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26713" w:rsidRDefault="00426713"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426713" w:rsidRPr="00DE0427" w:rsidRDefault="0042671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71237">
      <w:rPr>
        <w:rStyle w:val="PageNumber"/>
        <w:noProof/>
      </w:rPr>
      <w:t>7</w:t>
    </w:r>
    <w:r w:rsidRPr="00DE0427">
      <w:rPr>
        <w:rStyle w:val="PageNumber"/>
      </w:rPr>
      <w:fldChar w:fldCharType="end"/>
    </w:r>
  </w:p>
  <w:p w14:paraId="07F91E03" w14:textId="77777777" w:rsidR="00426713" w:rsidRDefault="00426713"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68C3" w14:textId="77777777" w:rsidR="00532357" w:rsidRDefault="00532357">
      <w:r>
        <w:separator/>
      </w:r>
    </w:p>
  </w:footnote>
  <w:footnote w:type="continuationSeparator" w:id="0">
    <w:p w14:paraId="03DAC2DC" w14:textId="77777777" w:rsidR="00532357" w:rsidRDefault="0053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A3A"/>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237"/>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2BCD"/>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2357"/>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5B5"/>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259"/>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49B9"/>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D85"/>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285"/>
    <w:rsid w:val="00B75348"/>
    <w:rsid w:val="00B7541E"/>
    <w:rsid w:val="00B75F71"/>
    <w:rsid w:val="00B76F64"/>
    <w:rsid w:val="00B7797D"/>
    <w:rsid w:val="00B80856"/>
    <w:rsid w:val="00B80E25"/>
    <w:rsid w:val="00B815A7"/>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35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CD5"/>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246A"/>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95"/>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30E9"/>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1B4"/>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D5C0CF8-016C-428B-B98F-BC37916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lr@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35C7-AE77-4C2B-B4CC-53BBD299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13414</Words>
  <Characters>7646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21018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4</cp:revision>
  <cp:lastPrinted>2018-02-16T07:31:00Z</cp:lastPrinted>
  <dcterms:created xsi:type="dcterms:W3CDTF">2018-03-25T20:20:00Z</dcterms:created>
  <dcterms:modified xsi:type="dcterms:W3CDTF">2018-03-26T06:30:00Z</dcterms:modified>
</cp:coreProperties>
</file>