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09FF6380"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E329E8">
        <w:rPr>
          <w:b/>
          <w:bCs/>
          <w:sz w:val="22"/>
          <w:szCs w:val="22"/>
          <w:lang w:val="lv-LV"/>
        </w:rPr>
        <w:t>5</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 xml:space="preserve">rbojas tās </w:t>
      </w:r>
      <w:r w:rsidR="00DF0ACD" w:rsidRPr="00E329E8">
        <w:rPr>
          <w:rFonts w:eastAsia="Cambria"/>
          <w:kern w:val="56"/>
          <w:sz w:val="22"/>
          <w:szCs w:val="22"/>
          <w:lang w:val="lv-LV"/>
        </w:rPr>
        <w:t>____________</w:t>
      </w:r>
      <w:r w:rsidRPr="00E329E8">
        <w:rPr>
          <w:rFonts w:eastAsia="Cambria"/>
          <w:kern w:val="56"/>
          <w:sz w:val="22"/>
          <w:szCs w:val="22"/>
          <w:lang w:val="lv-LV"/>
        </w:rPr>
        <w:t>,</w:t>
      </w:r>
      <w:r w:rsidRPr="0065528B">
        <w:rPr>
          <w:rFonts w:eastAsia="Cambria"/>
          <w:kern w:val="56"/>
          <w:sz w:val="22"/>
          <w:szCs w:val="22"/>
          <w:lang w:val="lv-LV"/>
        </w:rPr>
        <w:t xml:space="preserve"> turpmāk  – Piegādātājs, no otras puses, </w:t>
      </w:r>
    </w:p>
    <w:p w14:paraId="316BD587" w14:textId="5E78FA55"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konkursa </w:t>
      </w:r>
      <w:r w:rsidR="00D97584" w:rsidRPr="0065528B">
        <w:rPr>
          <w:color w:val="000000"/>
          <w:spacing w:val="-1"/>
          <w:sz w:val="22"/>
          <w:szCs w:val="22"/>
          <w:lang w:val="lv-LV"/>
        </w:rPr>
        <w:t>“</w:t>
      </w:r>
      <w:r w:rsidR="00E329E8" w:rsidRPr="00E329E8">
        <w:rPr>
          <w:color w:val="000000"/>
          <w:spacing w:val="-1"/>
          <w:sz w:val="22"/>
          <w:szCs w:val="22"/>
          <w:lang w:val="lv-LV"/>
        </w:rPr>
        <w:t>Daļiņu izmēra analīzes iekārtas piegāde</w:t>
      </w:r>
      <w:r w:rsidR="0065528B" w:rsidRPr="0065528B">
        <w:rPr>
          <w:color w:val="000000"/>
          <w:spacing w:val="-1"/>
          <w:sz w:val="22"/>
          <w:szCs w:val="22"/>
          <w:lang w:val="lv-LV"/>
        </w:rPr>
        <w:t>”</w:t>
      </w:r>
      <w:r w:rsidR="0065528B" w:rsidRPr="0065528B">
        <w:rPr>
          <w:rFonts w:eastAsia="Cambria"/>
          <w:color w:val="000000"/>
          <w:spacing w:val="-1"/>
          <w:sz w:val="22"/>
          <w:szCs w:val="22"/>
          <w:lang w:val="lv-LV"/>
        </w:rPr>
        <w:t xml:space="preserve"> </w:t>
      </w:r>
      <w:r w:rsidRPr="0065528B">
        <w:rPr>
          <w:rFonts w:eastAsia="Cambria"/>
          <w:kern w:val="56"/>
          <w:sz w:val="22"/>
          <w:szCs w:val="22"/>
          <w:lang w:val="lv-LV" w:eastAsia="x-none"/>
        </w:rPr>
        <w:t>ar identifikācij</w:t>
      </w:r>
      <w:bookmarkStart w:id="0" w:name="_GoBack"/>
      <w:bookmarkEnd w:id="0"/>
      <w:r w:rsidRPr="0065528B">
        <w:rPr>
          <w:rFonts w:eastAsia="Cambria"/>
          <w:kern w:val="56"/>
          <w:sz w:val="22"/>
          <w:szCs w:val="22"/>
          <w:lang w:val="lv-LV" w:eastAsia="x-none"/>
        </w:rPr>
        <w:t xml:space="preserve">as Nr. </w:t>
      </w:r>
      <w:r w:rsidR="00233589" w:rsidRPr="0065528B">
        <w:rPr>
          <w:rFonts w:eastAsia="Cambria"/>
          <w:kern w:val="56"/>
          <w:sz w:val="22"/>
          <w:szCs w:val="22"/>
          <w:lang w:val="lv-LV" w:eastAsia="x-none"/>
        </w:rPr>
        <w:t>LU CFI 2018/</w:t>
      </w:r>
      <w:r w:rsidR="0065528B" w:rsidRPr="0065528B">
        <w:rPr>
          <w:rFonts w:eastAsia="Cambria"/>
          <w:kern w:val="56"/>
          <w:sz w:val="22"/>
          <w:szCs w:val="22"/>
          <w:lang w:val="lv-LV" w:eastAsia="x-none"/>
        </w:rPr>
        <w:t>1</w:t>
      </w:r>
      <w:r w:rsidR="00E329E8">
        <w:rPr>
          <w:rFonts w:eastAsia="Cambria"/>
          <w:kern w:val="56"/>
          <w:sz w:val="22"/>
          <w:szCs w:val="22"/>
          <w:lang w:val="lv-LV" w:eastAsia="x-none"/>
        </w:rPr>
        <w:t>5</w:t>
      </w:r>
      <w:r w:rsidR="00393EFF" w:rsidRPr="0065528B">
        <w:rPr>
          <w:rFonts w:eastAsia="Cambria"/>
          <w:kern w:val="56"/>
          <w:sz w:val="22"/>
          <w:szCs w:val="22"/>
          <w:lang w:val="lv-LV" w:eastAsia="x-none"/>
        </w:rPr>
        <w:t>/ERAF</w:t>
      </w:r>
      <w:r w:rsidR="00426920" w:rsidRPr="0065528B">
        <w:rPr>
          <w:rFonts w:eastAsia="Cambria"/>
          <w:kern w:val="56"/>
          <w:sz w:val="22"/>
          <w:szCs w:val="22"/>
          <w:lang w:val="lv-LV" w:eastAsia="x-none"/>
        </w:rPr>
        <w:t>,</w:t>
      </w:r>
      <w:r w:rsidR="00036F57" w:rsidRPr="0065528B">
        <w:rPr>
          <w:rFonts w:eastAsia="Cambria"/>
          <w:kern w:val="56"/>
          <w:sz w:val="22"/>
          <w:szCs w:val="22"/>
          <w:lang w:val="lv-LV" w:eastAsia="x-none"/>
        </w:rPr>
        <w:t xml:space="preserve"> </w:t>
      </w:r>
      <w:r w:rsidR="00D97584" w:rsidRPr="0065528B">
        <w:rPr>
          <w:rFonts w:eastAsia="Cambria"/>
          <w:kern w:val="56"/>
          <w:sz w:val="22"/>
          <w:szCs w:val="22"/>
          <w:lang w:val="lv-LV" w:eastAsia="x-none"/>
        </w:rPr>
        <w:t>rezultātiem</w:t>
      </w:r>
      <w:r w:rsidRPr="0065528B">
        <w:rPr>
          <w:rFonts w:eastAsia="Cambria"/>
          <w:kern w:val="56"/>
          <w:sz w:val="22"/>
          <w:szCs w:val="22"/>
          <w:lang w:val="lv-LV" w:eastAsia="x-none"/>
        </w:rPr>
        <w:t xml:space="preserve">, </w:t>
      </w:r>
      <w:r w:rsidRPr="0065528B">
        <w:rPr>
          <w:rFonts w:eastAsia="Cambria"/>
          <w:i/>
          <w:kern w:val="56"/>
          <w:sz w:val="22"/>
          <w:szCs w:val="22"/>
          <w:lang w:val="lv-LV" w:eastAsia="x-none"/>
        </w:rPr>
        <w:t xml:space="preserve"> </w:t>
      </w:r>
      <w:r w:rsidRPr="0065528B">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596CB227" w:rsidR="00062C11" w:rsidRPr="0065528B" w:rsidRDefault="00062C11" w:rsidP="00E329E8">
      <w:pPr>
        <w:numPr>
          <w:ilvl w:val="1"/>
          <w:numId w:val="1"/>
        </w:numPr>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konkurss </w:t>
      </w:r>
      <w:r w:rsidR="00D97584" w:rsidRPr="0065528B">
        <w:rPr>
          <w:color w:val="000000"/>
          <w:spacing w:val="-1"/>
          <w:sz w:val="22"/>
          <w:szCs w:val="22"/>
          <w:lang w:val="lv-LV"/>
        </w:rPr>
        <w:t>“</w:t>
      </w:r>
      <w:r w:rsidR="00E329E8" w:rsidRPr="00E329E8">
        <w:rPr>
          <w:color w:val="000000"/>
          <w:spacing w:val="-1"/>
          <w:sz w:val="22"/>
          <w:szCs w:val="22"/>
          <w:lang w:val="lv-LV"/>
        </w:rPr>
        <w:t>Daļiņu izmēra analīzes iekārtas piegāde</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E329E8">
        <w:rPr>
          <w:rFonts w:cs="Cambria"/>
          <w:kern w:val="56"/>
          <w:sz w:val="22"/>
          <w:szCs w:val="22"/>
          <w:lang w:val="lv-LV"/>
        </w:rPr>
        <w:t>5</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30D522E3" w:rsidR="00062C11" w:rsidRPr="0065528B" w:rsidRDefault="00062C11" w:rsidP="00E329E8">
      <w:pPr>
        <w:numPr>
          <w:ilvl w:val="1"/>
          <w:numId w:val="1"/>
        </w:numPr>
        <w:contextualSpacing/>
        <w:jc w:val="both"/>
        <w:rPr>
          <w:b/>
          <w:kern w:val="56"/>
          <w:sz w:val="22"/>
          <w:szCs w:val="22"/>
          <w:lang w:val="lv-LV"/>
        </w:rPr>
      </w:pPr>
      <w:r w:rsidRPr="0065528B">
        <w:rPr>
          <w:b/>
          <w:kern w:val="56"/>
          <w:sz w:val="22"/>
          <w:szCs w:val="22"/>
          <w:lang w:val="lv-LV"/>
        </w:rPr>
        <w:t xml:space="preserve">Prece </w:t>
      </w:r>
      <w:r w:rsidR="00036F57" w:rsidRPr="0065528B">
        <w:rPr>
          <w:b/>
          <w:kern w:val="56"/>
          <w:sz w:val="22"/>
          <w:szCs w:val="22"/>
          <w:lang w:val="lv-LV"/>
        </w:rPr>
        <w:t>–</w:t>
      </w:r>
      <w:r w:rsidRPr="0065528B">
        <w:rPr>
          <w:b/>
          <w:kern w:val="56"/>
          <w:sz w:val="22"/>
          <w:szCs w:val="22"/>
          <w:lang w:val="lv-LV"/>
        </w:rPr>
        <w:t xml:space="preserve"> </w:t>
      </w:r>
      <w:r w:rsidR="00E329E8" w:rsidRPr="00E329E8">
        <w:rPr>
          <w:kern w:val="56"/>
          <w:sz w:val="22"/>
          <w:szCs w:val="22"/>
          <w:lang w:val="lv-LV"/>
        </w:rPr>
        <w:t xml:space="preserve">Daļiņu </w:t>
      </w:r>
      <w:r w:rsidR="00E329E8">
        <w:rPr>
          <w:kern w:val="56"/>
          <w:sz w:val="22"/>
          <w:szCs w:val="22"/>
          <w:lang w:val="lv-LV"/>
        </w:rPr>
        <w:t>izmēra analīzes iekārta</w:t>
      </w:r>
      <w:r w:rsidR="00426920" w:rsidRPr="0065528B">
        <w:rPr>
          <w:kern w:val="56"/>
          <w:sz w:val="22"/>
          <w:szCs w:val="22"/>
          <w:lang w:val="lv-LV"/>
        </w:rPr>
        <w:t>, kas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306D06A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w:t>
      </w:r>
      <w:r w:rsidR="00E329E8">
        <w:rPr>
          <w:kern w:val="56"/>
          <w:sz w:val="22"/>
          <w:szCs w:val="22"/>
          <w:lang w:val="lv-LV"/>
        </w:rPr>
        <w:t>os iepakojumos.</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52DFFD72"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r w:rsidRPr="0065528B">
        <w:rPr>
          <w:kern w:val="56"/>
          <w:sz w:val="22"/>
          <w:szCs w:val="22"/>
          <w:lang w:val="lv-LV"/>
        </w:rPr>
        <w:t xml:space="preserve">veic </w:t>
      </w:r>
      <w:r w:rsidR="00233589" w:rsidRPr="0065528B">
        <w:rPr>
          <w:b/>
          <w:kern w:val="56"/>
          <w:sz w:val="22"/>
          <w:szCs w:val="22"/>
          <w:lang w:val="lv-LV"/>
        </w:rPr>
        <w:t>ne ilgāk kā 6</w:t>
      </w:r>
      <w:r w:rsidR="00036F57" w:rsidRPr="0065528B">
        <w:rPr>
          <w:b/>
          <w:kern w:val="56"/>
          <w:sz w:val="22"/>
          <w:szCs w:val="22"/>
          <w:lang w:val="lv-LV"/>
        </w:rPr>
        <w:t xml:space="preserve"> (</w:t>
      </w:r>
      <w:r w:rsidR="00233589" w:rsidRPr="0065528B">
        <w:rPr>
          <w:b/>
          <w:kern w:val="56"/>
          <w:sz w:val="22"/>
          <w:szCs w:val="22"/>
          <w:lang w:val="lv-LV"/>
        </w:rPr>
        <w:t>sešu</w:t>
      </w:r>
      <w:r w:rsidR="00D97584" w:rsidRPr="0065528B">
        <w:rPr>
          <w:b/>
          <w:kern w:val="56"/>
          <w:sz w:val="22"/>
          <w:szCs w:val="22"/>
          <w:lang w:val="lv-LV"/>
        </w:rPr>
        <w:t>)</w:t>
      </w:r>
      <w:r w:rsidRPr="0065528B">
        <w:rPr>
          <w:b/>
          <w:kern w:val="56"/>
          <w:sz w:val="22"/>
          <w:szCs w:val="22"/>
          <w:lang w:val="lv-LV"/>
        </w:rPr>
        <w:t xml:space="preserve"> </w:t>
      </w:r>
      <w:r w:rsidR="00D97584" w:rsidRPr="0065528B">
        <w:rPr>
          <w:b/>
          <w:kern w:val="56"/>
          <w:sz w:val="22"/>
          <w:szCs w:val="22"/>
          <w:lang w:val="lv-LV"/>
        </w:rPr>
        <w:t xml:space="preserve">mēnešu </w:t>
      </w:r>
      <w:r w:rsidRPr="0065528B">
        <w:rPr>
          <w:b/>
          <w:kern w:val="56"/>
          <w:sz w:val="22"/>
          <w:szCs w:val="22"/>
          <w:lang w:val="lv-LV"/>
        </w:rPr>
        <w:t xml:space="preserve">laikā </w:t>
      </w:r>
      <w:r w:rsidRPr="0065528B">
        <w:rPr>
          <w:kern w:val="56"/>
          <w:sz w:val="22"/>
          <w:szCs w:val="22"/>
          <w:lang w:val="lv-LV"/>
        </w:rPr>
        <w:t>no Līguma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6080443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33C71A9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Jebkurā Līguma izbeigšanas gadījumā Pasūtītājs apņemas 30 (trīsdesmit) dienu laikā no tā izbeigšanas brīža atdot Piegādātājam visu saņemto un neapmaksāto Preci vai veikt pilnīgu </w:t>
      </w:r>
      <w:r w:rsidRPr="0065528B">
        <w:rPr>
          <w:rFonts w:eastAsia="Cambria"/>
          <w:kern w:val="56"/>
          <w:sz w:val="22"/>
          <w:szCs w:val="22"/>
          <w:lang w:val="lv-LV"/>
        </w:rPr>
        <w:lastRenderedPageBreak/>
        <w:t>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290B70">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290B70">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290B70">
            <w:pPr>
              <w:pStyle w:val="Heading6"/>
              <w:spacing w:before="60" w:after="60"/>
              <w:ind w:left="47"/>
              <w:jc w:val="left"/>
              <w:rPr>
                <w:rFonts w:ascii="Times New Roman" w:hAnsi="Times New Roman"/>
                <w:b w:val="0"/>
                <w:bCs w:val="0"/>
                <w:lang w:val="lv-LV"/>
              </w:rPr>
            </w:pPr>
          </w:p>
        </w:tc>
      </w:tr>
      <w:tr w:rsidR="0090767E" w:rsidRPr="0065528B"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290B70">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290B70">
            <w:pPr>
              <w:pStyle w:val="Heading6"/>
              <w:ind w:left="47"/>
              <w:jc w:val="left"/>
              <w:rPr>
                <w:rFonts w:ascii="Times New Roman" w:hAnsi="Times New Roman"/>
                <w:b w:val="0"/>
                <w:bCs w:val="0"/>
                <w:lang w:val="lv-LV"/>
              </w:rPr>
            </w:pPr>
          </w:p>
        </w:tc>
      </w:tr>
      <w:tr w:rsidR="0090767E" w:rsidRPr="0065528B"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7103" w14:textId="77777777" w:rsidR="006D1FF3" w:rsidRDefault="006D1FF3" w:rsidP="006E4BC3">
      <w:r>
        <w:separator/>
      </w:r>
    </w:p>
  </w:endnote>
  <w:endnote w:type="continuationSeparator" w:id="0">
    <w:p w14:paraId="68AE7B17" w14:textId="77777777" w:rsidR="006D1FF3" w:rsidRDefault="006D1FF3"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6E4BC3" w:rsidRDefault="006E4BC3"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9E8">
      <w:rPr>
        <w:rStyle w:val="PageNumber"/>
        <w:noProof/>
      </w:rPr>
      <w:t>1</w:t>
    </w:r>
    <w:r>
      <w:rPr>
        <w:rStyle w:val="PageNumber"/>
      </w:rPr>
      <w:fldChar w:fldCharType="end"/>
    </w:r>
  </w:p>
  <w:p w14:paraId="5AD71973" w14:textId="77777777" w:rsidR="006E4BC3" w:rsidRDefault="006E4BC3"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A381" w14:textId="77777777" w:rsidR="006D1FF3" w:rsidRDefault="006D1FF3" w:rsidP="006E4BC3">
      <w:r>
        <w:separator/>
      </w:r>
    </w:p>
  </w:footnote>
  <w:footnote w:type="continuationSeparator" w:id="0">
    <w:p w14:paraId="121B3292" w14:textId="77777777" w:rsidR="006D1FF3" w:rsidRDefault="006D1FF3"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C3641"/>
    <w:rsid w:val="001D6DB3"/>
    <w:rsid w:val="001F6384"/>
    <w:rsid w:val="00233589"/>
    <w:rsid w:val="00280CE5"/>
    <w:rsid w:val="00296ED0"/>
    <w:rsid w:val="002D20EA"/>
    <w:rsid w:val="003048B1"/>
    <w:rsid w:val="00393EFF"/>
    <w:rsid w:val="00426920"/>
    <w:rsid w:val="0059787A"/>
    <w:rsid w:val="005B0C92"/>
    <w:rsid w:val="00653B28"/>
    <w:rsid w:val="0065528B"/>
    <w:rsid w:val="006C1032"/>
    <w:rsid w:val="006D1FF3"/>
    <w:rsid w:val="006E4BC3"/>
    <w:rsid w:val="006F2FA2"/>
    <w:rsid w:val="00761C69"/>
    <w:rsid w:val="0077492B"/>
    <w:rsid w:val="007A5A48"/>
    <w:rsid w:val="00822F42"/>
    <w:rsid w:val="00882DA3"/>
    <w:rsid w:val="008E0B65"/>
    <w:rsid w:val="0090767E"/>
    <w:rsid w:val="009B530E"/>
    <w:rsid w:val="00BC547E"/>
    <w:rsid w:val="00BE314C"/>
    <w:rsid w:val="00C47B45"/>
    <w:rsid w:val="00D97584"/>
    <w:rsid w:val="00DD196A"/>
    <w:rsid w:val="00DF0ACD"/>
    <w:rsid w:val="00E329E8"/>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CDA8B8D3-5C29-461F-9EA4-1DFA58A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11354</Words>
  <Characters>6473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3</cp:revision>
  <cp:lastPrinted>2018-02-16T07:34:00Z</cp:lastPrinted>
  <dcterms:created xsi:type="dcterms:W3CDTF">2018-03-25T19:48:00Z</dcterms:created>
  <dcterms:modified xsi:type="dcterms:W3CDTF">2018-03-25T19:51:00Z</dcterms:modified>
</cp:coreProperties>
</file>