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4F" w:rsidRDefault="00EC3405" w:rsidP="00C8314F">
      <w:pPr>
        <w:pStyle w:val="Header"/>
        <w:tabs>
          <w:tab w:val="center" w:pos="3828"/>
        </w:tabs>
        <w:jc w:val="center"/>
        <w:rPr>
          <w:rFonts w:ascii="Verdana" w:hAnsi="Verdana"/>
          <w:sz w:val="17"/>
          <w:szCs w:val="17"/>
        </w:rPr>
      </w:pPr>
      <w:bookmarkStart w:id="0" w:name="_Toc393635238"/>
      <w:bookmarkStart w:id="1" w:name="_Toc394562062"/>
      <w:r>
        <w:rPr>
          <w:rFonts w:ascii="Verdana" w:hAnsi="Verdana"/>
          <w:noProof/>
          <w:sz w:val="17"/>
          <w:szCs w:val="17"/>
          <w:lang w:val="en-US"/>
        </w:rPr>
        <w:drawing>
          <wp:inline distT="0" distB="0" distL="0" distR="0">
            <wp:extent cx="1200150" cy="609600"/>
            <wp:effectExtent l="19050" t="0" r="0" b="0"/>
            <wp:docPr id="8" name="Picture 1" descr="C:\Users\Ruta.Mihalovska\AppData\Local\Microsoft\Windows\Temporary Internet Files\Content.IE5\EDV3ZBR3\eraf_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a.Mihalovska\AppData\Local\Microsoft\Windows\Temporary Internet Files\Content.IE5\EDV3ZBR3\eraf_mb.jpg"/>
                    <pic:cNvPicPr>
                      <a:picLocks noChangeAspect="1" noChangeArrowheads="1"/>
                    </pic:cNvPicPr>
                  </pic:nvPicPr>
                  <pic:blipFill>
                    <a:blip r:embed="rId9" cstate="print"/>
                    <a:srcRect/>
                    <a:stretch>
                      <a:fillRect/>
                    </a:stretch>
                  </pic:blipFill>
                  <pic:spPr bwMode="auto">
                    <a:xfrm>
                      <a:off x="0" y="0"/>
                      <a:ext cx="1200150" cy="609600"/>
                    </a:xfrm>
                    <a:prstGeom prst="rect">
                      <a:avLst/>
                    </a:prstGeom>
                    <a:noFill/>
                    <a:ln w="9525">
                      <a:noFill/>
                      <a:miter lim="800000"/>
                      <a:headEnd/>
                      <a:tailEnd/>
                    </a:ln>
                  </pic:spPr>
                </pic:pic>
              </a:graphicData>
            </a:graphic>
          </wp:inline>
        </w:drawing>
      </w:r>
      <w:r>
        <w:t xml:space="preserve">              </w:t>
      </w:r>
      <w:r>
        <w:rPr>
          <w:rFonts w:ascii="Helvetica" w:hAnsi="Helvetica" w:cs="Helvetica"/>
          <w:noProof/>
          <w:color w:val="4D4D4D"/>
          <w:sz w:val="17"/>
          <w:szCs w:val="17"/>
          <w:lang w:val="en-US"/>
        </w:rPr>
        <w:drawing>
          <wp:inline distT="0" distB="0" distL="0" distR="0">
            <wp:extent cx="876300" cy="685800"/>
            <wp:effectExtent l="19050" t="0" r="0" b="0"/>
            <wp:docPr id="9" name="Picture 22" descr="es_logo_ar_parakstu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_logo_ar_parakstu_melnbalts"/>
                    <pic:cNvPicPr>
                      <a:picLocks noChangeAspect="1" noChangeArrowheads="1"/>
                    </pic:cNvPicPr>
                  </pic:nvPicPr>
                  <pic:blipFill>
                    <a:blip r:embed="rId10"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r w:rsidRPr="00A910D5">
        <w:rPr>
          <w:rFonts w:ascii="Verdana" w:hAnsi="Verdana"/>
          <w:sz w:val="17"/>
          <w:szCs w:val="17"/>
        </w:rPr>
        <w:t xml:space="preserve"> </w:t>
      </w:r>
      <w:r>
        <w:rPr>
          <w:rFonts w:ascii="Verdana" w:hAnsi="Verdana"/>
          <w:sz w:val="17"/>
          <w:szCs w:val="17"/>
        </w:rPr>
        <w:t xml:space="preserve">           </w:t>
      </w:r>
      <w:r>
        <w:rPr>
          <w:rFonts w:ascii="Verdana" w:hAnsi="Verdana"/>
          <w:noProof/>
          <w:sz w:val="17"/>
          <w:szCs w:val="17"/>
          <w:lang w:val="en-US"/>
        </w:rPr>
        <w:drawing>
          <wp:inline distT="0" distB="0" distL="0" distR="0">
            <wp:extent cx="1162050" cy="609600"/>
            <wp:effectExtent l="19050" t="0" r="0" b="0"/>
            <wp:docPr id="10" name="Picture 25" descr="http://www.viaa.gov.lv/images/news/10/4910/txt_20_4914_melnbalts_lv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iaa.gov.lv/images/news/10/4910/txt_20_4914_melnbalts_lv_copy.jpg"/>
                    <pic:cNvPicPr>
                      <a:picLocks noChangeAspect="1" noChangeArrowheads="1"/>
                    </pic:cNvPicPr>
                  </pic:nvPicPr>
                  <pic:blipFill>
                    <a:blip r:embed="rId11" cstate="print"/>
                    <a:srcRect/>
                    <a:stretch>
                      <a:fillRect/>
                    </a:stretch>
                  </pic:blipFill>
                  <pic:spPr bwMode="auto">
                    <a:xfrm>
                      <a:off x="0" y="0"/>
                      <a:ext cx="1164336" cy="610799"/>
                    </a:xfrm>
                    <a:prstGeom prst="rect">
                      <a:avLst/>
                    </a:prstGeom>
                    <a:noFill/>
                    <a:ln w="9525">
                      <a:noFill/>
                      <a:miter lim="800000"/>
                      <a:headEnd/>
                      <a:tailEnd/>
                    </a:ln>
                  </pic:spPr>
                </pic:pic>
              </a:graphicData>
            </a:graphic>
          </wp:inline>
        </w:drawing>
      </w:r>
    </w:p>
    <w:p w:rsidR="00C8314F" w:rsidRDefault="00C8314F" w:rsidP="00C8314F">
      <w:pPr>
        <w:pStyle w:val="Header"/>
        <w:tabs>
          <w:tab w:val="center" w:pos="3828"/>
        </w:tabs>
        <w:jc w:val="center"/>
        <w:rPr>
          <w:rFonts w:ascii="Verdana" w:hAnsi="Verdana"/>
          <w:sz w:val="17"/>
          <w:szCs w:val="17"/>
        </w:rPr>
      </w:pPr>
    </w:p>
    <w:p w:rsidR="00EC3405" w:rsidRPr="00C8314F" w:rsidRDefault="00EC3405" w:rsidP="00C8314F">
      <w:pPr>
        <w:pStyle w:val="Header"/>
        <w:tabs>
          <w:tab w:val="center" w:pos="3828"/>
        </w:tabs>
        <w:jc w:val="center"/>
        <w:rPr>
          <w:rFonts w:ascii="Verdana" w:hAnsi="Verdana"/>
          <w:sz w:val="17"/>
          <w:szCs w:val="17"/>
        </w:rPr>
      </w:pPr>
      <w:r w:rsidRPr="00A910D5">
        <w:rPr>
          <w:rFonts w:ascii="Verdana" w:hAnsi="Verdana"/>
          <w:noProof/>
          <w:sz w:val="17"/>
          <w:szCs w:val="17"/>
          <w:lang w:val="en-US"/>
        </w:rPr>
        <w:drawing>
          <wp:anchor distT="0" distB="0" distL="114300" distR="114300" simplePos="0" relativeHeight="251659264" behindDoc="0" locked="0" layoutInCell="1" allowOverlap="1">
            <wp:simplePos x="0" y="0"/>
            <wp:positionH relativeFrom="column">
              <wp:posOffset>3505200</wp:posOffset>
            </wp:positionH>
            <wp:positionV relativeFrom="paragraph">
              <wp:posOffset>68580</wp:posOffset>
            </wp:positionV>
            <wp:extent cx="1743075" cy="114300"/>
            <wp:effectExtent l="19050" t="0" r="9525" b="0"/>
            <wp:wrapNone/>
            <wp:docPr id="11" name="Picture 2" descr="es_fondu_sau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_fondu_sauklis.jpg"/>
                    <pic:cNvPicPr>
                      <a:picLocks noChangeAspect="1" noChangeArrowheads="1"/>
                    </pic:cNvPicPr>
                  </pic:nvPicPr>
                  <pic:blipFill>
                    <a:blip r:embed="rId12" r:link="rId13" cstate="print"/>
                    <a:srcRect/>
                    <a:stretch>
                      <a:fillRect/>
                    </a:stretch>
                  </pic:blipFill>
                  <pic:spPr bwMode="auto">
                    <a:xfrm>
                      <a:off x="0" y="0"/>
                      <a:ext cx="1743075" cy="114300"/>
                    </a:xfrm>
                    <a:prstGeom prst="rect">
                      <a:avLst/>
                    </a:prstGeom>
                    <a:noFill/>
                  </pic:spPr>
                </pic:pic>
              </a:graphicData>
            </a:graphic>
          </wp:anchor>
        </w:drawing>
      </w:r>
      <w:bookmarkEnd w:id="0"/>
      <w:bookmarkEnd w:id="1"/>
    </w:p>
    <w:p w:rsidR="00C8314F" w:rsidRDefault="00C8314F" w:rsidP="00BC51AA">
      <w:pPr>
        <w:jc w:val="center"/>
        <w:rPr>
          <w:rFonts w:ascii="Times New Roman" w:hAnsi="Times New Roman" w:cs="Times New Roman"/>
          <w:b/>
          <w:sz w:val="32"/>
          <w:szCs w:val="32"/>
        </w:rPr>
      </w:pPr>
    </w:p>
    <w:p w:rsidR="0023195D" w:rsidRPr="00795EF2" w:rsidRDefault="00006AE5" w:rsidP="00BC51AA">
      <w:pPr>
        <w:jc w:val="center"/>
        <w:rPr>
          <w:rFonts w:ascii="Times New Roman" w:hAnsi="Times New Roman" w:cs="Times New Roman"/>
          <w:b/>
          <w:sz w:val="32"/>
          <w:szCs w:val="32"/>
        </w:rPr>
      </w:pPr>
      <w:r>
        <w:rPr>
          <w:rFonts w:ascii="Times New Roman" w:hAnsi="Times New Roman" w:cs="Times New Roman"/>
          <w:b/>
          <w:sz w:val="32"/>
          <w:szCs w:val="32"/>
        </w:rPr>
        <w:t>Pārbaudes</w:t>
      </w:r>
      <w:r w:rsidR="00BC51AA" w:rsidRPr="00795EF2">
        <w:rPr>
          <w:rFonts w:ascii="Times New Roman" w:hAnsi="Times New Roman" w:cs="Times New Roman"/>
          <w:b/>
          <w:sz w:val="32"/>
          <w:szCs w:val="32"/>
        </w:rPr>
        <w:t xml:space="preserve"> lapa</w:t>
      </w:r>
      <w:r w:rsidR="00A7240E">
        <w:rPr>
          <w:rFonts w:ascii="Times New Roman" w:hAnsi="Times New Roman" w:cs="Times New Roman"/>
          <w:b/>
          <w:sz w:val="32"/>
          <w:szCs w:val="32"/>
        </w:rPr>
        <w:t xml:space="preserve"> – </w:t>
      </w:r>
      <w:r w:rsidR="00DB1082">
        <w:rPr>
          <w:rFonts w:ascii="Times New Roman" w:hAnsi="Times New Roman" w:cs="Times New Roman"/>
          <w:b/>
          <w:sz w:val="32"/>
          <w:szCs w:val="32"/>
        </w:rPr>
        <w:t>Ziņojums</w:t>
      </w:r>
    </w:p>
    <w:p w:rsidR="00891148" w:rsidRPr="00891148" w:rsidRDefault="00C72B46" w:rsidP="00B65F8E">
      <w:pPr>
        <w:shd w:val="clear" w:color="auto" w:fill="FFFFFF" w:themeFill="background1"/>
        <w:spacing w:before="360" w:after="360"/>
        <w:jc w:val="both"/>
        <w:rPr>
          <w:rFonts w:ascii="Times New Roman" w:hAnsi="Times New Roman" w:cs="Times New Roman"/>
        </w:rPr>
      </w:pPr>
      <w:r w:rsidRPr="00891148">
        <w:rPr>
          <w:rFonts w:ascii="Times New Roman" w:hAnsi="Times New Roman" w:cs="Times New Roman"/>
        </w:rPr>
        <w:t xml:space="preserve">Pārbaudes </w:t>
      </w:r>
      <w:r w:rsidR="00006AE5">
        <w:rPr>
          <w:rFonts w:ascii="Times New Roman" w:hAnsi="Times New Roman" w:cs="Times New Roman"/>
        </w:rPr>
        <w:t xml:space="preserve">mērķis ir </w:t>
      </w:r>
      <w:r w:rsidRPr="00891148">
        <w:rPr>
          <w:rFonts w:ascii="Times New Roman" w:hAnsi="Times New Roman" w:cs="Times New Roman"/>
        </w:rPr>
        <w:t xml:space="preserve">gūt pārliecību, ka </w:t>
      </w:r>
      <w:r w:rsidR="00006AE5" w:rsidRPr="003E13F6">
        <w:rPr>
          <w:rFonts w:ascii="Times New Roman" w:hAnsi="Times New Roman" w:cs="Times New Roman"/>
        </w:rPr>
        <w:t>Pētniecības Organizācij</w:t>
      </w:r>
      <w:r w:rsidR="00006AE5">
        <w:rPr>
          <w:rFonts w:ascii="Times New Roman" w:hAnsi="Times New Roman" w:cs="Times New Roman"/>
        </w:rPr>
        <w:t>as</w:t>
      </w:r>
      <w:r w:rsidRPr="00891148">
        <w:rPr>
          <w:rFonts w:ascii="Times New Roman" w:hAnsi="Times New Roman" w:cs="Times New Roman"/>
        </w:rPr>
        <w:t xml:space="preserve"> nodrošina pienākumu nodalīt finanšu plūsmas</w:t>
      </w:r>
      <w:r w:rsidR="00006AE5">
        <w:rPr>
          <w:rFonts w:ascii="Times New Roman" w:hAnsi="Times New Roman" w:cs="Times New Roman"/>
        </w:rPr>
        <w:t xml:space="preserve"> un</w:t>
      </w:r>
      <w:r w:rsidRPr="00891148">
        <w:rPr>
          <w:rFonts w:ascii="Times New Roman" w:hAnsi="Times New Roman" w:cs="Times New Roman"/>
        </w:rPr>
        <w:t xml:space="preserve"> nepārkāpt komercdarbības atbalsta kontroles normu prasības</w:t>
      </w:r>
      <w:r w:rsidR="00006AE5">
        <w:rPr>
          <w:rFonts w:ascii="Times New Roman" w:hAnsi="Times New Roman" w:cs="Times New Roman"/>
        </w:rPr>
        <w:t xml:space="preserve">. Pārbaudes lapas ir izmantojamas </w:t>
      </w:r>
      <w:r w:rsidR="006C610C">
        <w:rPr>
          <w:rFonts w:ascii="Times New Roman" w:hAnsi="Times New Roman" w:cs="Times New Roman"/>
        </w:rPr>
        <w:t xml:space="preserve">kopā ar dokumentu </w:t>
      </w:r>
      <w:r w:rsidR="006C610C" w:rsidRPr="006C610C">
        <w:rPr>
          <w:rFonts w:ascii="Times New Roman" w:hAnsi="Times New Roman" w:cs="Times New Roman"/>
          <w:i/>
        </w:rPr>
        <w:t>„</w:t>
      </w:r>
      <w:r w:rsidR="000B4493">
        <w:rPr>
          <w:rFonts w:ascii="Times New Roman" w:hAnsi="Times New Roman" w:cs="Times New Roman"/>
          <w:i/>
        </w:rPr>
        <w:t>Detalizēto pārbaužu procedūru kopsavilkums</w:t>
      </w:r>
      <w:r w:rsidR="006C610C" w:rsidRPr="006C610C">
        <w:rPr>
          <w:rFonts w:ascii="Times New Roman" w:hAnsi="Times New Roman" w:cs="Times New Roman"/>
          <w:i/>
        </w:rPr>
        <w:t>”</w:t>
      </w:r>
      <w:r w:rsidR="006C610C">
        <w:rPr>
          <w:rFonts w:ascii="Times New Roman" w:hAnsi="Times New Roman" w:cs="Times New Roman"/>
        </w:rPr>
        <w:t>, kurā ir skaidrots Pārbaudes</w:t>
      </w:r>
      <w:r w:rsidR="00891148" w:rsidRPr="00891148">
        <w:rPr>
          <w:rFonts w:ascii="Times New Roman" w:hAnsi="Times New Roman" w:cs="Times New Roman"/>
        </w:rPr>
        <w:t xml:space="preserve"> lap</w:t>
      </w:r>
      <w:r w:rsidR="006C610C">
        <w:rPr>
          <w:rFonts w:ascii="Times New Roman" w:hAnsi="Times New Roman" w:cs="Times New Roman"/>
        </w:rPr>
        <w:t>u piemērošana</w:t>
      </w:r>
      <w:r w:rsidR="00891148" w:rsidRPr="00891148">
        <w:rPr>
          <w:rFonts w:ascii="Times New Roman" w:hAnsi="Times New Roman" w:cs="Times New Roman"/>
        </w:rPr>
        <w:t>.</w:t>
      </w:r>
    </w:p>
    <w:tbl>
      <w:tblPr>
        <w:tblStyle w:val="TableGrid"/>
        <w:tblW w:w="13575" w:type="dxa"/>
        <w:tblLook w:val="04A0" w:firstRow="1" w:lastRow="0" w:firstColumn="1" w:lastColumn="0" w:noHBand="0" w:noVBand="1"/>
      </w:tblPr>
      <w:tblGrid>
        <w:gridCol w:w="4788"/>
        <w:gridCol w:w="8787"/>
      </w:tblGrid>
      <w:tr w:rsidR="005B09A8" w:rsidTr="00C8314F">
        <w:tc>
          <w:tcPr>
            <w:tcW w:w="4788" w:type="dxa"/>
            <w:shd w:val="pct5" w:color="auto" w:fill="auto"/>
          </w:tcPr>
          <w:p w:rsidR="005B09A8" w:rsidRPr="005B09A8" w:rsidRDefault="005B09A8" w:rsidP="005B09A8">
            <w:pPr>
              <w:spacing w:before="120" w:after="120"/>
              <w:rPr>
                <w:rFonts w:ascii="Times New Roman" w:hAnsi="Times New Roman" w:cs="Times New Roman"/>
                <w:b/>
              </w:rPr>
            </w:pPr>
            <w:r>
              <w:rPr>
                <w:rFonts w:ascii="Times New Roman" w:hAnsi="Times New Roman" w:cs="Times New Roman"/>
                <w:b/>
              </w:rPr>
              <w:t>Vispārīga i</w:t>
            </w:r>
            <w:r w:rsidRPr="005B09A8">
              <w:rPr>
                <w:rFonts w:ascii="Times New Roman" w:hAnsi="Times New Roman" w:cs="Times New Roman"/>
                <w:b/>
              </w:rPr>
              <w:t>nformācija par pārbaudi</w:t>
            </w:r>
          </w:p>
        </w:tc>
        <w:tc>
          <w:tcPr>
            <w:tcW w:w="8787" w:type="dxa"/>
            <w:shd w:val="pct5" w:color="auto" w:fill="auto"/>
          </w:tcPr>
          <w:p w:rsidR="005B09A8" w:rsidRDefault="005B09A8" w:rsidP="005B09A8">
            <w:pPr>
              <w:spacing w:before="120" w:after="120"/>
              <w:jc w:val="center"/>
              <w:rPr>
                <w:rFonts w:ascii="Times New Roman" w:hAnsi="Times New Roman" w:cs="Times New Roman"/>
              </w:rPr>
            </w:pPr>
          </w:p>
        </w:tc>
      </w:tr>
      <w:tr w:rsidR="005B09A8" w:rsidTr="00C8314F">
        <w:tc>
          <w:tcPr>
            <w:tcW w:w="4788" w:type="dxa"/>
          </w:tcPr>
          <w:p w:rsidR="005B09A8" w:rsidRDefault="005B09A8" w:rsidP="005B09A8">
            <w:pPr>
              <w:spacing w:before="120" w:after="120"/>
              <w:rPr>
                <w:rFonts w:ascii="Times New Roman" w:hAnsi="Times New Roman" w:cs="Times New Roman"/>
              </w:rPr>
            </w:pPr>
            <w:r>
              <w:rPr>
                <w:rFonts w:ascii="Times New Roman" w:hAnsi="Times New Roman" w:cs="Times New Roman"/>
              </w:rPr>
              <w:t>Pētniecības organizācija</w:t>
            </w:r>
            <w:r w:rsidR="00843596">
              <w:rPr>
                <w:rFonts w:ascii="Times New Roman" w:hAnsi="Times New Roman" w:cs="Times New Roman"/>
              </w:rPr>
              <w:t>s</w:t>
            </w:r>
            <w:r w:rsidR="00B15E37">
              <w:rPr>
                <w:rFonts w:ascii="Times New Roman" w:hAnsi="Times New Roman" w:cs="Times New Roman"/>
              </w:rPr>
              <w:t xml:space="preserve"> (turpmāk tekstā „PO”)</w:t>
            </w:r>
            <w:r w:rsidR="00843596">
              <w:rPr>
                <w:rFonts w:ascii="Times New Roman" w:hAnsi="Times New Roman" w:cs="Times New Roman"/>
              </w:rPr>
              <w:t xml:space="preserve"> nosaukums</w:t>
            </w:r>
          </w:p>
        </w:tc>
        <w:tc>
          <w:tcPr>
            <w:tcW w:w="8787" w:type="dxa"/>
          </w:tcPr>
          <w:p w:rsidR="005B09A8" w:rsidRDefault="005B09A8" w:rsidP="005B09A8">
            <w:pPr>
              <w:spacing w:before="120" w:after="120"/>
              <w:jc w:val="center"/>
              <w:rPr>
                <w:rFonts w:ascii="Times New Roman" w:hAnsi="Times New Roman" w:cs="Times New Roman"/>
              </w:rPr>
            </w:pPr>
          </w:p>
        </w:tc>
      </w:tr>
      <w:tr w:rsidR="005B09A8" w:rsidTr="00C8314F">
        <w:tc>
          <w:tcPr>
            <w:tcW w:w="4788" w:type="dxa"/>
          </w:tcPr>
          <w:p w:rsidR="005B09A8" w:rsidRDefault="005B09A8" w:rsidP="0030169D">
            <w:pPr>
              <w:spacing w:before="120" w:after="120"/>
              <w:rPr>
                <w:rFonts w:ascii="Times New Roman" w:hAnsi="Times New Roman" w:cs="Times New Roman"/>
              </w:rPr>
            </w:pPr>
            <w:r>
              <w:rPr>
                <w:rFonts w:ascii="Times New Roman" w:hAnsi="Times New Roman" w:cs="Times New Roman"/>
              </w:rPr>
              <w:t>Saņemtais finansējums (ESF, ERAF</w:t>
            </w:r>
            <w:r w:rsidR="00A12AE0">
              <w:rPr>
                <w:rFonts w:ascii="Times New Roman" w:hAnsi="Times New Roman" w:cs="Times New Roman"/>
              </w:rPr>
              <w:t xml:space="preserve"> </w:t>
            </w:r>
            <w:r w:rsidR="0030169D">
              <w:rPr>
                <w:rFonts w:ascii="Times New Roman" w:hAnsi="Times New Roman" w:cs="Times New Roman"/>
              </w:rPr>
              <w:t>2007-2013 Struktūrfondu programmēšanas perioda ietvaros)</w:t>
            </w:r>
          </w:p>
        </w:tc>
        <w:tc>
          <w:tcPr>
            <w:tcW w:w="8787" w:type="dxa"/>
          </w:tcPr>
          <w:p w:rsidR="005B09A8" w:rsidRDefault="005B09A8" w:rsidP="005B09A8">
            <w:pPr>
              <w:spacing w:before="120" w:after="120"/>
              <w:jc w:val="center"/>
              <w:rPr>
                <w:rFonts w:ascii="Times New Roman" w:hAnsi="Times New Roman" w:cs="Times New Roman"/>
              </w:rPr>
            </w:pPr>
          </w:p>
        </w:tc>
      </w:tr>
      <w:tr w:rsidR="005B09A8" w:rsidTr="00C8314F">
        <w:tc>
          <w:tcPr>
            <w:tcW w:w="4788" w:type="dxa"/>
          </w:tcPr>
          <w:p w:rsidR="005B09A8" w:rsidRDefault="00627F17" w:rsidP="005B09A8">
            <w:pPr>
              <w:spacing w:before="120" w:after="120"/>
              <w:rPr>
                <w:rFonts w:ascii="Times New Roman" w:hAnsi="Times New Roman" w:cs="Times New Roman"/>
              </w:rPr>
            </w:pPr>
            <w:r>
              <w:rPr>
                <w:rFonts w:ascii="Times New Roman" w:hAnsi="Times New Roman" w:cs="Times New Roman"/>
              </w:rPr>
              <w:t>Pārbaudes veicējs, amats</w:t>
            </w:r>
          </w:p>
        </w:tc>
        <w:tc>
          <w:tcPr>
            <w:tcW w:w="8787" w:type="dxa"/>
          </w:tcPr>
          <w:p w:rsidR="005B09A8" w:rsidRDefault="005B09A8" w:rsidP="005B09A8">
            <w:pPr>
              <w:spacing w:before="120" w:after="120"/>
              <w:jc w:val="center"/>
              <w:rPr>
                <w:rFonts w:ascii="Times New Roman" w:hAnsi="Times New Roman" w:cs="Times New Roman"/>
              </w:rPr>
            </w:pPr>
          </w:p>
        </w:tc>
      </w:tr>
      <w:tr w:rsidR="005B09A8" w:rsidTr="00C8314F">
        <w:tc>
          <w:tcPr>
            <w:tcW w:w="4788" w:type="dxa"/>
          </w:tcPr>
          <w:p w:rsidR="005B09A8" w:rsidRDefault="00627F17" w:rsidP="005B09A8">
            <w:pPr>
              <w:spacing w:before="120" w:after="120"/>
              <w:rPr>
                <w:rFonts w:ascii="Times New Roman" w:hAnsi="Times New Roman" w:cs="Times New Roman"/>
              </w:rPr>
            </w:pPr>
            <w:r>
              <w:rPr>
                <w:rFonts w:ascii="Times New Roman" w:hAnsi="Times New Roman" w:cs="Times New Roman"/>
              </w:rPr>
              <w:t>Datums, vieta</w:t>
            </w:r>
          </w:p>
        </w:tc>
        <w:tc>
          <w:tcPr>
            <w:tcW w:w="8787" w:type="dxa"/>
          </w:tcPr>
          <w:p w:rsidR="005B09A8" w:rsidRDefault="005B09A8" w:rsidP="005B09A8">
            <w:pPr>
              <w:spacing w:before="120" w:after="120"/>
              <w:jc w:val="center"/>
              <w:rPr>
                <w:rFonts w:ascii="Times New Roman" w:hAnsi="Times New Roman" w:cs="Times New Roman"/>
              </w:rPr>
            </w:pPr>
          </w:p>
        </w:tc>
      </w:tr>
      <w:tr w:rsidR="009008EF" w:rsidTr="00C8314F">
        <w:tc>
          <w:tcPr>
            <w:tcW w:w="4788" w:type="dxa"/>
          </w:tcPr>
          <w:p w:rsidR="009008EF" w:rsidRDefault="009008EF" w:rsidP="009008EF">
            <w:pPr>
              <w:spacing w:before="120" w:after="120"/>
              <w:rPr>
                <w:rFonts w:ascii="Times New Roman" w:hAnsi="Times New Roman" w:cs="Times New Roman"/>
              </w:rPr>
            </w:pPr>
            <w:r>
              <w:rPr>
                <w:rFonts w:ascii="Times New Roman" w:hAnsi="Times New Roman" w:cs="Times New Roman"/>
              </w:rPr>
              <w:t>Paraksts</w:t>
            </w:r>
          </w:p>
        </w:tc>
        <w:tc>
          <w:tcPr>
            <w:tcW w:w="8787" w:type="dxa"/>
          </w:tcPr>
          <w:p w:rsidR="009008EF" w:rsidRDefault="009008EF" w:rsidP="005B09A8">
            <w:pPr>
              <w:spacing w:before="120"/>
              <w:jc w:val="center"/>
              <w:rPr>
                <w:rFonts w:ascii="Times New Roman" w:hAnsi="Times New Roman" w:cs="Times New Roman"/>
              </w:rPr>
            </w:pPr>
          </w:p>
        </w:tc>
      </w:tr>
    </w:tbl>
    <w:p w:rsidR="00F4774C" w:rsidRDefault="00F4774C" w:rsidP="00721FD7">
      <w:pPr>
        <w:shd w:val="clear" w:color="auto" w:fill="FFFFFF" w:themeFill="background1"/>
        <w:spacing w:after="0" w:line="240" w:lineRule="auto"/>
        <w:rPr>
          <w:rFonts w:ascii="Times New Roman" w:hAnsi="Times New Roman" w:cs="Times New Roman"/>
        </w:rPr>
      </w:pPr>
    </w:p>
    <w:p w:rsidR="00C8314F" w:rsidRDefault="00C8314F" w:rsidP="00721FD7">
      <w:pPr>
        <w:shd w:val="clear" w:color="auto" w:fill="FFFFFF" w:themeFill="background1"/>
        <w:spacing w:after="0" w:line="240" w:lineRule="auto"/>
        <w:rPr>
          <w:rFonts w:ascii="Times New Roman" w:hAnsi="Times New Roman" w:cs="Times New Roman"/>
        </w:rPr>
      </w:pPr>
    </w:p>
    <w:p w:rsidR="00C8314F" w:rsidRDefault="00C8314F" w:rsidP="00721FD7">
      <w:pPr>
        <w:shd w:val="clear" w:color="auto" w:fill="FFFFFF" w:themeFill="background1"/>
        <w:spacing w:after="0" w:line="240" w:lineRule="auto"/>
        <w:rPr>
          <w:rFonts w:ascii="Times New Roman" w:hAnsi="Times New Roman" w:cs="Times New Roman"/>
        </w:rPr>
      </w:pPr>
    </w:p>
    <w:p w:rsidR="00C8314F" w:rsidRDefault="00C8314F" w:rsidP="00721FD7">
      <w:pPr>
        <w:shd w:val="clear" w:color="auto" w:fill="FFFFFF" w:themeFill="background1"/>
        <w:spacing w:after="0" w:line="240" w:lineRule="auto"/>
        <w:rPr>
          <w:rFonts w:ascii="Times New Roman" w:hAnsi="Times New Roman" w:cs="Times New Roman"/>
        </w:rPr>
      </w:pPr>
    </w:p>
    <w:p w:rsidR="00C8314F" w:rsidRDefault="00C8314F" w:rsidP="00721FD7">
      <w:pPr>
        <w:shd w:val="clear" w:color="auto" w:fill="FFFFFF" w:themeFill="background1"/>
        <w:spacing w:after="0" w:line="240" w:lineRule="auto"/>
        <w:rPr>
          <w:rFonts w:ascii="Times New Roman" w:hAnsi="Times New Roman" w:cs="Times New Roman"/>
        </w:rPr>
      </w:pPr>
    </w:p>
    <w:p w:rsidR="00C8314F" w:rsidRDefault="00C8314F" w:rsidP="00721FD7">
      <w:pPr>
        <w:shd w:val="clear" w:color="auto" w:fill="FFFFFF" w:themeFill="background1"/>
        <w:spacing w:after="0" w:line="240" w:lineRule="auto"/>
        <w:rPr>
          <w:rFonts w:ascii="Times New Roman" w:hAnsi="Times New Roman" w:cs="Times New Roman"/>
        </w:rPr>
      </w:pPr>
    </w:p>
    <w:tbl>
      <w:tblPr>
        <w:tblStyle w:val="TableGrid"/>
        <w:tblW w:w="13575" w:type="dxa"/>
        <w:tblLook w:val="04A0" w:firstRow="1" w:lastRow="0" w:firstColumn="1" w:lastColumn="0" w:noHBand="0" w:noVBand="1"/>
      </w:tblPr>
      <w:tblGrid>
        <w:gridCol w:w="959"/>
        <w:gridCol w:w="4536"/>
        <w:gridCol w:w="142"/>
        <w:gridCol w:w="566"/>
        <w:gridCol w:w="142"/>
        <w:gridCol w:w="567"/>
        <w:gridCol w:w="142"/>
        <w:gridCol w:w="629"/>
        <w:gridCol w:w="80"/>
        <w:gridCol w:w="62"/>
        <w:gridCol w:w="5750"/>
      </w:tblGrid>
      <w:tr w:rsidR="00F511DE" w:rsidRPr="00B71F22" w:rsidTr="00C8314F">
        <w:trPr>
          <w:cantSplit/>
        </w:trPr>
        <w:tc>
          <w:tcPr>
            <w:tcW w:w="959" w:type="dxa"/>
            <w:shd w:val="clear" w:color="auto" w:fill="00338D"/>
          </w:tcPr>
          <w:p w:rsidR="00F511DE" w:rsidRPr="00B71F22" w:rsidRDefault="00F511DE" w:rsidP="00F77E2C">
            <w:pPr>
              <w:pStyle w:val="ListParagraph"/>
              <w:numPr>
                <w:ilvl w:val="0"/>
                <w:numId w:val="3"/>
              </w:numPr>
              <w:spacing w:before="120" w:line="240" w:lineRule="auto"/>
              <w:rPr>
                <w:rFonts w:ascii="Times New Roman" w:hAnsi="Times New Roman" w:cs="Times New Roman"/>
                <w:b/>
                <w:sz w:val="28"/>
                <w:szCs w:val="28"/>
                <w:lang w:val="lv-LV"/>
              </w:rPr>
            </w:pPr>
          </w:p>
        </w:tc>
        <w:tc>
          <w:tcPr>
            <w:tcW w:w="12616" w:type="dxa"/>
            <w:gridSpan w:val="10"/>
            <w:shd w:val="clear" w:color="auto" w:fill="00338D"/>
          </w:tcPr>
          <w:p w:rsidR="00F4774C" w:rsidRDefault="00F511DE" w:rsidP="00F4774C">
            <w:pPr>
              <w:spacing w:before="160"/>
              <w:jc w:val="both"/>
              <w:rPr>
                <w:rFonts w:ascii="Times New Roman" w:hAnsi="Times New Roman" w:cs="Times New Roman"/>
                <w:b/>
                <w:sz w:val="28"/>
                <w:szCs w:val="28"/>
              </w:rPr>
            </w:pPr>
            <w:r w:rsidRPr="00B71F22">
              <w:rPr>
                <w:rFonts w:ascii="Times New Roman" w:hAnsi="Times New Roman" w:cs="Times New Roman"/>
                <w:b/>
                <w:sz w:val="28"/>
                <w:szCs w:val="28"/>
              </w:rPr>
              <w:t>Izmaksas</w:t>
            </w:r>
          </w:p>
        </w:tc>
      </w:tr>
      <w:tr w:rsidR="00F511DE" w:rsidRPr="00B71F22" w:rsidTr="00C8314F">
        <w:trPr>
          <w:cantSplit/>
        </w:trPr>
        <w:tc>
          <w:tcPr>
            <w:tcW w:w="13575" w:type="dxa"/>
            <w:gridSpan w:val="11"/>
          </w:tcPr>
          <w:p w:rsidR="001B2C20" w:rsidRDefault="00F511DE">
            <w:pPr>
              <w:spacing w:before="120" w:after="120"/>
              <w:jc w:val="both"/>
              <w:rPr>
                <w:rFonts w:ascii="Times New Roman" w:hAnsi="Times New Roman" w:cs="Times New Roman"/>
                <w:sz w:val="24"/>
                <w:szCs w:val="24"/>
              </w:rPr>
            </w:pPr>
            <w:r w:rsidRPr="00B71F22">
              <w:rPr>
                <w:rFonts w:ascii="Times New Roman" w:hAnsi="Times New Roman" w:cs="Times New Roman"/>
                <w:b/>
                <w:sz w:val="24"/>
                <w:szCs w:val="24"/>
              </w:rPr>
              <w:t>Izmaksu uzskaite, nodalīšana</w:t>
            </w:r>
            <w:r w:rsidR="0096471E">
              <w:rPr>
                <w:rFonts w:ascii="Times New Roman" w:hAnsi="Times New Roman" w:cs="Times New Roman"/>
                <w:b/>
                <w:sz w:val="24"/>
                <w:szCs w:val="24"/>
              </w:rPr>
              <w:t>, attiecināšana</w:t>
            </w:r>
          </w:p>
        </w:tc>
      </w:tr>
      <w:tr w:rsidR="003D18DE" w:rsidRPr="003E13F6" w:rsidTr="00C8314F">
        <w:trPr>
          <w:cantSplit/>
        </w:trPr>
        <w:tc>
          <w:tcPr>
            <w:tcW w:w="959" w:type="dxa"/>
            <w:vMerge w:val="restart"/>
          </w:tcPr>
          <w:p w:rsidR="003D18DE" w:rsidRPr="003E13F6" w:rsidRDefault="003D18DE" w:rsidP="00942CE8">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3D18DE" w:rsidRPr="00AE3169" w:rsidRDefault="003D18DE" w:rsidP="00B92785">
            <w:pPr>
              <w:spacing w:before="120" w:after="120"/>
              <w:jc w:val="both"/>
              <w:rPr>
                <w:rFonts w:ascii="Times New Roman" w:hAnsi="Times New Roman" w:cs="Times New Roman"/>
                <w:sz w:val="16"/>
                <w:szCs w:val="16"/>
              </w:rPr>
            </w:pPr>
            <w:r w:rsidRPr="00AE3169">
              <w:rPr>
                <w:rFonts w:ascii="Times New Roman" w:hAnsi="Times New Roman" w:cs="Times New Roman"/>
                <w:sz w:val="16"/>
                <w:szCs w:val="16"/>
              </w:rPr>
              <w:t>[</w:t>
            </w:r>
            <w:r>
              <w:rPr>
                <w:rFonts w:ascii="Times New Roman" w:hAnsi="Times New Roman" w:cs="Times New Roman"/>
                <w:sz w:val="16"/>
                <w:szCs w:val="16"/>
              </w:rPr>
              <w:t>A</w:t>
            </w:r>
            <w:r w:rsidRPr="00AE3169">
              <w:rPr>
                <w:rFonts w:ascii="Times New Roman" w:hAnsi="Times New Roman" w:cs="Times New Roman"/>
                <w:sz w:val="16"/>
                <w:szCs w:val="16"/>
              </w:rPr>
              <w:t>ttiecināms tikai uz valsts budžeta finansētajām iestādēm]</w:t>
            </w:r>
          </w:p>
          <w:p w:rsidR="003D18DE" w:rsidRDefault="003D18DE" w:rsidP="00B92785">
            <w:pPr>
              <w:spacing w:before="120" w:after="120"/>
              <w:jc w:val="both"/>
              <w:rPr>
                <w:rFonts w:ascii="Times New Roman" w:hAnsi="Times New Roman" w:cs="Times New Roman"/>
                <w:sz w:val="20"/>
                <w:szCs w:val="20"/>
              </w:rPr>
            </w:pPr>
            <w:r>
              <w:rPr>
                <w:rFonts w:ascii="Times New Roman" w:hAnsi="Times New Roman" w:cs="Times New Roman"/>
                <w:sz w:val="20"/>
                <w:szCs w:val="20"/>
              </w:rPr>
              <w:t>Izmaksām</w:t>
            </w:r>
            <w:r w:rsidRPr="003E13F6">
              <w:rPr>
                <w:rFonts w:ascii="Times New Roman" w:hAnsi="Times New Roman" w:cs="Times New Roman"/>
                <w:sz w:val="20"/>
                <w:szCs w:val="20"/>
              </w:rPr>
              <w:t xml:space="preserve"> piešķirts atbilstošs budžeta izdevumu klasifikācijas kods </w:t>
            </w:r>
          </w:p>
          <w:p w:rsidR="003D18DE" w:rsidRPr="0083464A" w:rsidRDefault="003D18DE" w:rsidP="00B92785">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(MK noteikumi Nr. 1031)</w:t>
            </w:r>
          </w:p>
        </w:tc>
        <w:tc>
          <w:tcPr>
            <w:tcW w:w="708" w:type="dxa"/>
            <w:gridSpan w:val="2"/>
          </w:tcPr>
          <w:p w:rsidR="003D18DE" w:rsidRPr="003E13F6" w:rsidRDefault="003D18DE" w:rsidP="000B0D9C">
            <w:pPr>
              <w:spacing w:before="120"/>
              <w:rPr>
                <w:rFonts w:ascii="Times New Roman" w:hAnsi="Times New Roman" w:cs="Times New Roman"/>
                <w:sz w:val="20"/>
                <w:szCs w:val="20"/>
              </w:rPr>
            </w:pPr>
          </w:p>
        </w:tc>
        <w:tc>
          <w:tcPr>
            <w:tcW w:w="709" w:type="dxa"/>
            <w:gridSpan w:val="2"/>
          </w:tcPr>
          <w:p w:rsidR="003D18DE" w:rsidRPr="003E13F6" w:rsidRDefault="003D18DE" w:rsidP="000B0D9C">
            <w:pPr>
              <w:spacing w:before="120"/>
              <w:rPr>
                <w:rFonts w:ascii="Times New Roman" w:hAnsi="Times New Roman" w:cs="Times New Roman"/>
                <w:sz w:val="20"/>
                <w:szCs w:val="20"/>
              </w:rPr>
            </w:pPr>
          </w:p>
        </w:tc>
        <w:tc>
          <w:tcPr>
            <w:tcW w:w="771" w:type="dxa"/>
            <w:gridSpan w:val="3"/>
          </w:tcPr>
          <w:p w:rsidR="003D18DE" w:rsidRPr="003E13F6" w:rsidRDefault="003D18DE" w:rsidP="000B0D9C">
            <w:pPr>
              <w:spacing w:before="120"/>
              <w:rPr>
                <w:rFonts w:ascii="Times New Roman" w:hAnsi="Times New Roman" w:cs="Times New Roman"/>
                <w:sz w:val="20"/>
                <w:szCs w:val="20"/>
              </w:rPr>
            </w:pPr>
          </w:p>
        </w:tc>
        <w:tc>
          <w:tcPr>
            <w:tcW w:w="5750" w:type="dxa"/>
          </w:tcPr>
          <w:p w:rsidR="003D18DE" w:rsidRPr="003E13F6" w:rsidRDefault="003D18DE" w:rsidP="000B0D9C">
            <w:pPr>
              <w:spacing w:before="120"/>
              <w:rPr>
                <w:rFonts w:ascii="Times New Roman" w:hAnsi="Times New Roman" w:cs="Times New Roman"/>
                <w:sz w:val="20"/>
                <w:szCs w:val="20"/>
              </w:rPr>
            </w:pPr>
          </w:p>
        </w:tc>
      </w:tr>
      <w:tr w:rsidR="003D18DE" w:rsidRPr="003E13F6" w:rsidTr="00C8314F">
        <w:trPr>
          <w:cantSplit/>
        </w:trPr>
        <w:tc>
          <w:tcPr>
            <w:tcW w:w="959" w:type="dxa"/>
            <w:vMerge/>
          </w:tcPr>
          <w:p w:rsidR="003D18DE" w:rsidRPr="003D18DE" w:rsidRDefault="003D18DE" w:rsidP="003D18DE">
            <w:pPr>
              <w:spacing w:before="120"/>
              <w:ind w:left="360"/>
              <w:rPr>
                <w:rFonts w:ascii="Times New Roman" w:hAnsi="Times New Roman" w:cs="Times New Roman"/>
                <w:sz w:val="20"/>
                <w:szCs w:val="20"/>
              </w:rPr>
            </w:pPr>
          </w:p>
        </w:tc>
        <w:tc>
          <w:tcPr>
            <w:tcW w:w="4678" w:type="dxa"/>
            <w:gridSpan w:val="2"/>
          </w:tcPr>
          <w:p w:rsidR="003D18DE" w:rsidRDefault="003D18DE" w:rsidP="00B92785">
            <w:pPr>
              <w:spacing w:before="120" w:after="120"/>
              <w:jc w:val="both"/>
              <w:rPr>
                <w:rFonts w:ascii="Times New Roman" w:hAnsi="Times New Roman" w:cs="Times New Roman"/>
                <w:sz w:val="20"/>
                <w:szCs w:val="20"/>
              </w:rPr>
            </w:pPr>
            <w:r>
              <w:rPr>
                <w:rFonts w:ascii="Times New Roman" w:hAnsi="Times New Roman" w:cs="Times New Roman"/>
                <w:sz w:val="20"/>
                <w:szCs w:val="20"/>
              </w:rPr>
              <w:t>A</w:t>
            </w:r>
            <w:r w:rsidRPr="00C2289F">
              <w:rPr>
                <w:rFonts w:ascii="Times New Roman" w:hAnsi="Times New Roman" w:cs="Times New Roman"/>
                <w:sz w:val="20"/>
                <w:szCs w:val="20"/>
              </w:rPr>
              <w:t xml:space="preserve">tbilstoši darījuma ekonomiskajai būtībai </w:t>
            </w:r>
            <w:r>
              <w:rPr>
                <w:rFonts w:ascii="Times New Roman" w:hAnsi="Times New Roman" w:cs="Times New Roman"/>
                <w:sz w:val="20"/>
                <w:szCs w:val="20"/>
              </w:rPr>
              <w:t>izmaksām tiek piemērots</w:t>
            </w:r>
            <w:r w:rsidRPr="00C2289F">
              <w:rPr>
                <w:rFonts w:ascii="Times New Roman" w:hAnsi="Times New Roman" w:cs="Times New Roman"/>
                <w:sz w:val="20"/>
                <w:szCs w:val="20"/>
              </w:rPr>
              <w:t xml:space="preserve"> atbilstoš</w:t>
            </w:r>
            <w:r>
              <w:rPr>
                <w:rFonts w:ascii="Times New Roman" w:hAnsi="Times New Roman" w:cs="Times New Roman"/>
                <w:sz w:val="20"/>
                <w:szCs w:val="20"/>
              </w:rPr>
              <w:t>s</w:t>
            </w:r>
            <w:r w:rsidRPr="00C2289F">
              <w:rPr>
                <w:rFonts w:ascii="Times New Roman" w:hAnsi="Times New Roman" w:cs="Times New Roman"/>
                <w:sz w:val="20"/>
                <w:szCs w:val="20"/>
              </w:rPr>
              <w:t xml:space="preserve"> grāmatvedības uzskaites kont</w:t>
            </w:r>
            <w:r>
              <w:rPr>
                <w:rFonts w:ascii="Times New Roman" w:hAnsi="Times New Roman" w:cs="Times New Roman"/>
                <w:sz w:val="20"/>
                <w:szCs w:val="20"/>
              </w:rPr>
              <w:t>s</w:t>
            </w:r>
          </w:p>
          <w:p w:rsidR="003D18DE" w:rsidRPr="0083464A" w:rsidRDefault="003D18DE" w:rsidP="00721FD7">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(MK noteikumi Nr. 1486)</w:t>
            </w:r>
          </w:p>
        </w:tc>
        <w:tc>
          <w:tcPr>
            <w:tcW w:w="708" w:type="dxa"/>
            <w:gridSpan w:val="2"/>
          </w:tcPr>
          <w:p w:rsidR="003D18DE" w:rsidRPr="003E13F6" w:rsidRDefault="003D18DE" w:rsidP="000B0D9C">
            <w:pPr>
              <w:spacing w:before="120"/>
              <w:rPr>
                <w:rFonts w:ascii="Times New Roman" w:hAnsi="Times New Roman" w:cs="Times New Roman"/>
                <w:sz w:val="20"/>
                <w:szCs w:val="20"/>
              </w:rPr>
            </w:pPr>
          </w:p>
        </w:tc>
        <w:tc>
          <w:tcPr>
            <w:tcW w:w="709" w:type="dxa"/>
            <w:gridSpan w:val="2"/>
          </w:tcPr>
          <w:p w:rsidR="003D18DE" w:rsidRPr="003E13F6" w:rsidRDefault="003D18DE" w:rsidP="000B0D9C">
            <w:pPr>
              <w:spacing w:before="120"/>
              <w:rPr>
                <w:rFonts w:ascii="Times New Roman" w:hAnsi="Times New Roman" w:cs="Times New Roman"/>
                <w:sz w:val="20"/>
                <w:szCs w:val="20"/>
              </w:rPr>
            </w:pPr>
          </w:p>
        </w:tc>
        <w:tc>
          <w:tcPr>
            <w:tcW w:w="771" w:type="dxa"/>
            <w:gridSpan w:val="3"/>
          </w:tcPr>
          <w:p w:rsidR="003D18DE" w:rsidRPr="003E13F6" w:rsidRDefault="003D18DE" w:rsidP="000B0D9C">
            <w:pPr>
              <w:spacing w:before="120"/>
              <w:rPr>
                <w:rFonts w:ascii="Times New Roman" w:hAnsi="Times New Roman" w:cs="Times New Roman"/>
                <w:sz w:val="20"/>
                <w:szCs w:val="20"/>
              </w:rPr>
            </w:pPr>
          </w:p>
        </w:tc>
        <w:tc>
          <w:tcPr>
            <w:tcW w:w="5750" w:type="dxa"/>
          </w:tcPr>
          <w:p w:rsidR="003D18DE" w:rsidRPr="003E13F6" w:rsidRDefault="003D18DE" w:rsidP="000B0D9C">
            <w:pPr>
              <w:spacing w:before="120"/>
              <w:rPr>
                <w:rFonts w:ascii="Times New Roman" w:hAnsi="Times New Roman" w:cs="Times New Roman"/>
                <w:sz w:val="20"/>
                <w:szCs w:val="20"/>
              </w:rPr>
            </w:pPr>
          </w:p>
        </w:tc>
      </w:tr>
      <w:tr w:rsidR="003D18DE" w:rsidRPr="003E13F6" w:rsidTr="00C8314F">
        <w:trPr>
          <w:cantSplit/>
        </w:trPr>
        <w:tc>
          <w:tcPr>
            <w:tcW w:w="959" w:type="dxa"/>
            <w:vMerge/>
          </w:tcPr>
          <w:p w:rsidR="003D18DE" w:rsidRPr="003D18DE" w:rsidRDefault="003D18DE" w:rsidP="003D18DE">
            <w:pPr>
              <w:spacing w:before="120"/>
              <w:ind w:left="360"/>
              <w:rPr>
                <w:rFonts w:ascii="Times New Roman" w:hAnsi="Times New Roman" w:cs="Times New Roman"/>
                <w:sz w:val="20"/>
                <w:szCs w:val="20"/>
              </w:rPr>
            </w:pPr>
          </w:p>
        </w:tc>
        <w:tc>
          <w:tcPr>
            <w:tcW w:w="4678" w:type="dxa"/>
            <w:gridSpan w:val="2"/>
          </w:tcPr>
          <w:p w:rsidR="003D18DE" w:rsidRDefault="003D18DE" w:rsidP="00B92785">
            <w:pPr>
              <w:spacing w:before="120"/>
              <w:jc w:val="both"/>
              <w:rPr>
                <w:rFonts w:ascii="Times New Roman" w:hAnsi="Times New Roman" w:cs="Times New Roman"/>
                <w:sz w:val="20"/>
                <w:szCs w:val="20"/>
              </w:rPr>
            </w:pPr>
            <w:r w:rsidRPr="003E13F6">
              <w:rPr>
                <w:rFonts w:ascii="Times New Roman" w:hAnsi="Times New Roman" w:cs="Times New Roman"/>
                <w:sz w:val="20"/>
                <w:szCs w:val="20"/>
              </w:rPr>
              <w:t xml:space="preserve">PO </w:t>
            </w:r>
            <w:r w:rsidRPr="00721FD7">
              <w:rPr>
                <w:rFonts w:ascii="Times New Roman" w:hAnsi="Times New Roman" w:cs="Times New Roman"/>
                <w:sz w:val="20"/>
                <w:szCs w:val="20"/>
              </w:rPr>
              <w:t>grāmatvedības / finanšu</w:t>
            </w:r>
            <w:r>
              <w:rPr>
                <w:rFonts w:ascii="Times New Roman" w:hAnsi="Times New Roman" w:cs="Times New Roman"/>
                <w:sz w:val="20"/>
                <w:szCs w:val="20"/>
              </w:rPr>
              <w:t xml:space="preserve"> </w:t>
            </w:r>
            <w:r w:rsidRPr="003E13F6">
              <w:rPr>
                <w:rFonts w:ascii="Times New Roman" w:hAnsi="Times New Roman" w:cs="Times New Roman"/>
                <w:sz w:val="20"/>
                <w:szCs w:val="20"/>
              </w:rPr>
              <w:t>uzskaite</w:t>
            </w:r>
            <w:r>
              <w:rPr>
                <w:rFonts w:ascii="Times New Roman" w:hAnsi="Times New Roman" w:cs="Times New Roman"/>
                <w:sz w:val="20"/>
                <w:szCs w:val="20"/>
              </w:rPr>
              <w:t>s sistēmā izmaksām tiek piešķirta pazīme,</w:t>
            </w:r>
            <w:r w:rsidRPr="003E13F6">
              <w:rPr>
                <w:rFonts w:ascii="Times New Roman" w:hAnsi="Times New Roman" w:cs="Times New Roman"/>
                <w:sz w:val="20"/>
                <w:szCs w:val="20"/>
              </w:rPr>
              <w:t xml:space="preserve"> vai </w:t>
            </w:r>
            <w:r>
              <w:rPr>
                <w:rFonts w:ascii="Times New Roman" w:hAnsi="Times New Roman" w:cs="Times New Roman"/>
                <w:sz w:val="20"/>
                <w:szCs w:val="20"/>
              </w:rPr>
              <w:t>tie</w:t>
            </w:r>
            <w:r w:rsidRPr="003E13F6">
              <w:rPr>
                <w:rFonts w:ascii="Times New Roman" w:hAnsi="Times New Roman" w:cs="Times New Roman"/>
                <w:sz w:val="20"/>
                <w:szCs w:val="20"/>
              </w:rPr>
              <w:t xml:space="preserve"> </w:t>
            </w:r>
            <w:r>
              <w:rPr>
                <w:rFonts w:ascii="Times New Roman" w:hAnsi="Times New Roman" w:cs="Times New Roman"/>
                <w:sz w:val="20"/>
                <w:szCs w:val="20"/>
              </w:rPr>
              <w:t xml:space="preserve">ir </w:t>
            </w:r>
            <w:r w:rsidRPr="003E13F6">
              <w:rPr>
                <w:rFonts w:ascii="Times New Roman" w:hAnsi="Times New Roman" w:cs="Times New Roman"/>
                <w:sz w:val="20"/>
                <w:szCs w:val="20"/>
              </w:rPr>
              <w:t>saistīti ar</w:t>
            </w:r>
            <w:r>
              <w:rPr>
                <w:rFonts w:ascii="Times New Roman" w:hAnsi="Times New Roman" w:cs="Times New Roman"/>
                <w:sz w:val="20"/>
                <w:szCs w:val="20"/>
              </w:rPr>
              <w:t>:</w:t>
            </w:r>
            <w:r w:rsidRPr="003E13F6">
              <w:rPr>
                <w:rFonts w:ascii="Times New Roman" w:hAnsi="Times New Roman" w:cs="Times New Roman"/>
                <w:sz w:val="20"/>
                <w:szCs w:val="20"/>
              </w:rPr>
              <w:t xml:space="preserve"> </w:t>
            </w:r>
          </w:p>
          <w:p w:rsidR="003D18DE" w:rsidRDefault="003D18DE" w:rsidP="00B92785">
            <w:pPr>
              <w:pStyle w:val="ListParagraph"/>
              <w:numPr>
                <w:ilvl w:val="0"/>
                <w:numId w:val="10"/>
              </w:numPr>
              <w:spacing w:after="0" w:line="240" w:lineRule="auto"/>
              <w:ind w:left="714" w:hanging="357"/>
              <w:jc w:val="both"/>
              <w:rPr>
                <w:rFonts w:ascii="Times New Roman" w:hAnsi="Times New Roman" w:cs="Times New Roman"/>
                <w:sz w:val="20"/>
                <w:szCs w:val="20"/>
                <w:lang w:val="lv-LV"/>
              </w:rPr>
            </w:pPr>
            <w:r>
              <w:rPr>
                <w:rFonts w:ascii="Times New Roman" w:hAnsi="Times New Roman" w:cs="Times New Roman"/>
                <w:sz w:val="20"/>
                <w:szCs w:val="20"/>
                <w:lang w:val="lv-LV"/>
              </w:rPr>
              <w:t>N</w:t>
            </w:r>
            <w:r w:rsidRPr="000539AF">
              <w:rPr>
                <w:rFonts w:ascii="Times New Roman" w:hAnsi="Times New Roman" w:cs="Times New Roman"/>
                <w:sz w:val="20"/>
                <w:szCs w:val="20"/>
                <w:lang w:val="lv-LV"/>
              </w:rPr>
              <w:t>esaimniecisko pamatdarbību</w:t>
            </w:r>
            <w:r>
              <w:rPr>
                <w:rFonts w:ascii="Times New Roman" w:hAnsi="Times New Roman" w:cs="Times New Roman"/>
                <w:sz w:val="20"/>
                <w:szCs w:val="20"/>
                <w:lang w:val="lv-LV"/>
              </w:rPr>
              <w:t xml:space="preserve"> *;</w:t>
            </w:r>
          </w:p>
          <w:p w:rsidR="003D18DE" w:rsidRDefault="003D18DE" w:rsidP="00B92785">
            <w:pPr>
              <w:pStyle w:val="ListParagraph"/>
              <w:numPr>
                <w:ilvl w:val="0"/>
                <w:numId w:val="10"/>
              </w:numPr>
              <w:spacing w:before="120"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S</w:t>
            </w:r>
            <w:r w:rsidRPr="000539AF">
              <w:rPr>
                <w:rFonts w:ascii="Times New Roman" w:hAnsi="Times New Roman" w:cs="Times New Roman"/>
                <w:sz w:val="20"/>
                <w:szCs w:val="20"/>
                <w:lang w:val="lv-LV"/>
              </w:rPr>
              <w:t>aimniecisko pamatdarbību</w:t>
            </w:r>
            <w:r>
              <w:rPr>
                <w:rFonts w:ascii="Times New Roman" w:hAnsi="Times New Roman" w:cs="Times New Roman"/>
                <w:sz w:val="20"/>
                <w:szCs w:val="20"/>
                <w:lang w:val="lv-LV"/>
              </w:rPr>
              <w:t xml:space="preserve"> **;</w:t>
            </w:r>
          </w:p>
          <w:p w:rsidR="00E47240" w:rsidRPr="00E47240" w:rsidRDefault="00E47240" w:rsidP="00E47240">
            <w:pPr>
              <w:pStyle w:val="ListParagraph"/>
              <w:numPr>
                <w:ilvl w:val="0"/>
                <w:numId w:val="10"/>
              </w:numPr>
              <w:rPr>
                <w:rFonts w:ascii="Times New Roman" w:hAnsi="Times New Roman" w:cs="Times New Roman"/>
                <w:sz w:val="20"/>
                <w:szCs w:val="20"/>
                <w:lang w:val="lv-LV"/>
              </w:rPr>
            </w:pPr>
            <w:r>
              <w:rPr>
                <w:rFonts w:ascii="Times New Roman" w:hAnsi="Times New Roman" w:cs="Times New Roman"/>
                <w:sz w:val="20"/>
                <w:szCs w:val="20"/>
                <w:lang w:val="lv-LV"/>
              </w:rPr>
              <w:t>Kombinēto</w:t>
            </w:r>
            <w:r w:rsidRPr="00E47240">
              <w:rPr>
                <w:rFonts w:ascii="Times New Roman" w:hAnsi="Times New Roman" w:cs="Times New Roman"/>
                <w:sz w:val="20"/>
                <w:szCs w:val="20"/>
                <w:lang w:val="lv-LV"/>
              </w:rPr>
              <w:t xml:space="preserve"> pamatdarbību;</w:t>
            </w:r>
          </w:p>
          <w:p w:rsidR="003D18DE" w:rsidRDefault="003D18DE" w:rsidP="00F50092">
            <w:pPr>
              <w:pStyle w:val="ListParagraph"/>
              <w:numPr>
                <w:ilvl w:val="0"/>
                <w:numId w:val="10"/>
              </w:numPr>
              <w:spacing w:before="120" w:after="120" w:line="240" w:lineRule="auto"/>
              <w:ind w:left="714" w:hanging="357"/>
              <w:jc w:val="both"/>
              <w:rPr>
                <w:rFonts w:ascii="Times New Roman" w:hAnsi="Times New Roman" w:cs="Times New Roman"/>
                <w:sz w:val="20"/>
                <w:szCs w:val="20"/>
                <w:lang w:val="lv-LV"/>
              </w:rPr>
            </w:pPr>
            <w:r>
              <w:rPr>
                <w:rFonts w:ascii="Times New Roman" w:hAnsi="Times New Roman" w:cs="Times New Roman"/>
                <w:sz w:val="20"/>
                <w:szCs w:val="20"/>
                <w:lang w:val="lv-LV"/>
              </w:rPr>
              <w:t>P</w:t>
            </w:r>
            <w:r w:rsidRPr="000539AF">
              <w:rPr>
                <w:rFonts w:ascii="Times New Roman" w:hAnsi="Times New Roman" w:cs="Times New Roman"/>
                <w:sz w:val="20"/>
                <w:szCs w:val="20"/>
                <w:lang w:val="lv-LV"/>
              </w:rPr>
              <w:t>ārējo</w:t>
            </w:r>
            <w:r w:rsidR="00E47240">
              <w:rPr>
                <w:rFonts w:ascii="Times New Roman" w:hAnsi="Times New Roman" w:cs="Times New Roman"/>
                <w:sz w:val="20"/>
                <w:szCs w:val="20"/>
                <w:lang w:val="lv-LV"/>
              </w:rPr>
              <w:t>/citu</w:t>
            </w:r>
            <w:r w:rsidRPr="000539AF">
              <w:rPr>
                <w:rFonts w:ascii="Times New Roman" w:hAnsi="Times New Roman" w:cs="Times New Roman"/>
                <w:sz w:val="20"/>
                <w:szCs w:val="20"/>
                <w:lang w:val="lv-LV"/>
              </w:rPr>
              <w:t xml:space="preserve"> saimniecisko darbību</w:t>
            </w:r>
            <w:r>
              <w:rPr>
                <w:rFonts w:ascii="Times New Roman" w:hAnsi="Times New Roman" w:cs="Times New Roman"/>
                <w:sz w:val="20"/>
                <w:szCs w:val="20"/>
                <w:lang w:val="lv-LV"/>
              </w:rPr>
              <w:t>.</w:t>
            </w:r>
          </w:p>
          <w:p w:rsidR="003D18DE" w:rsidRDefault="003D18DE" w:rsidP="00E32B49">
            <w:pPr>
              <w:spacing w:before="120" w:after="120" w:line="260" w:lineRule="atLeast"/>
              <w:jc w:val="both"/>
              <w:rPr>
                <w:rFonts w:ascii="Times New Roman" w:hAnsi="Times New Roman" w:cs="Times New Roman"/>
                <w:sz w:val="20"/>
                <w:szCs w:val="20"/>
              </w:rPr>
            </w:pPr>
            <w:r w:rsidRPr="0083464A">
              <w:rPr>
                <w:rFonts w:ascii="Times New Roman" w:hAnsi="Times New Roman" w:cs="Times New Roman"/>
                <w:sz w:val="20"/>
                <w:szCs w:val="20"/>
              </w:rPr>
              <w:t>Tiek nodrošināta finanšu plūsmas nodalīšana</w:t>
            </w:r>
            <w:r w:rsidR="00CB34E0">
              <w:rPr>
                <w:rFonts w:ascii="Times New Roman" w:hAnsi="Times New Roman" w:cs="Times New Roman"/>
                <w:sz w:val="20"/>
                <w:szCs w:val="20"/>
              </w:rPr>
              <w:t xml:space="preserve">. </w:t>
            </w:r>
          </w:p>
          <w:p w:rsidR="003D18DE" w:rsidRDefault="003D18DE" w:rsidP="00C85133">
            <w:pPr>
              <w:spacing w:before="120" w:after="120"/>
              <w:jc w:val="both"/>
              <w:rPr>
                <w:rFonts w:ascii="Times New Roman" w:hAnsi="Times New Roman" w:cs="Times New Roman"/>
                <w:sz w:val="18"/>
                <w:szCs w:val="18"/>
              </w:rPr>
            </w:pPr>
            <w:r w:rsidRPr="00C85133">
              <w:rPr>
                <w:rFonts w:ascii="Times New Roman" w:hAnsi="Times New Roman" w:cs="Times New Roman"/>
                <w:sz w:val="18"/>
                <w:szCs w:val="18"/>
              </w:rPr>
              <w:t xml:space="preserve">* </w:t>
            </w:r>
            <w:r>
              <w:rPr>
                <w:rFonts w:ascii="Times New Roman" w:hAnsi="Times New Roman" w:cs="Times New Roman"/>
                <w:sz w:val="18"/>
                <w:szCs w:val="18"/>
              </w:rPr>
              <w:t>PO</w:t>
            </w:r>
            <w:r w:rsidRPr="00C85133">
              <w:rPr>
                <w:rFonts w:ascii="Times New Roman" w:hAnsi="Times New Roman" w:cs="Times New Roman"/>
                <w:sz w:val="18"/>
                <w:szCs w:val="18"/>
              </w:rPr>
              <w:t xml:space="preserve"> pamatdarbības daļa, kuras mērķis nav komercdarbība.</w:t>
            </w:r>
          </w:p>
          <w:p w:rsidR="003D18DE" w:rsidRPr="00C85133" w:rsidRDefault="003D18DE" w:rsidP="00C85133">
            <w:pPr>
              <w:spacing w:before="120" w:after="120"/>
              <w:jc w:val="both"/>
              <w:rPr>
                <w:rFonts w:ascii="Times New Roman" w:hAnsi="Times New Roman" w:cs="Times New Roman"/>
                <w:sz w:val="18"/>
                <w:szCs w:val="18"/>
              </w:rPr>
            </w:pPr>
            <w:r>
              <w:rPr>
                <w:rFonts w:ascii="Times New Roman" w:hAnsi="Times New Roman" w:cs="Times New Roman"/>
                <w:sz w:val="18"/>
                <w:szCs w:val="18"/>
              </w:rPr>
              <w:t xml:space="preserve">** </w:t>
            </w:r>
            <w:r w:rsidRPr="00C85133">
              <w:rPr>
                <w:rFonts w:ascii="Times New Roman" w:hAnsi="Times New Roman" w:cs="Times New Roman"/>
                <w:sz w:val="18"/>
                <w:szCs w:val="18"/>
              </w:rPr>
              <w:t xml:space="preserve">Darbība, kurā </w:t>
            </w:r>
            <w:r>
              <w:rPr>
                <w:rFonts w:ascii="Times New Roman" w:hAnsi="Times New Roman" w:cs="Times New Roman"/>
                <w:sz w:val="18"/>
                <w:szCs w:val="18"/>
              </w:rPr>
              <w:t>PO piedāvā preces un</w:t>
            </w:r>
            <w:r w:rsidRPr="00C85133">
              <w:rPr>
                <w:rFonts w:ascii="Times New Roman" w:hAnsi="Times New Roman" w:cs="Times New Roman"/>
                <w:sz w:val="18"/>
                <w:szCs w:val="18"/>
              </w:rPr>
              <w:t>/ vai pakalpojumus attiecīgajā tirgū</w:t>
            </w:r>
            <w:r>
              <w:rPr>
                <w:rFonts w:ascii="Times New Roman" w:hAnsi="Times New Roman" w:cs="Times New Roman"/>
                <w:sz w:val="18"/>
                <w:szCs w:val="18"/>
              </w:rPr>
              <w:t>.</w:t>
            </w:r>
          </w:p>
          <w:p w:rsidR="003D18DE" w:rsidRDefault="003D18DE" w:rsidP="00E32B49">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(Nostādnes par valsts atbalstu pētniecībai, attīstībai un inovācijai (2006/C 323/01), PO definīcija)</w:t>
            </w:r>
          </w:p>
          <w:p w:rsidR="007C6115" w:rsidRPr="0083464A" w:rsidRDefault="007C6115" w:rsidP="007C6115">
            <w:pPr>
              <w:spacing w:before="120" w:after="120"/>
              <w:jc w:val="both"/>
              <w:rPr>
                <w:rFonts w:ascii="Times New Roman" w:hAnsi="Times New Roman" w:cs="Times New Roman"/>
                <w:sz w:val="18"/>
                <w:szCs w:val="18"/>
              </w:rPr>
            </w:pPr>
            <w:r>
              <w:rPr>
                <w:rFonts w:ascii="Times New Roman" w:hAnsi="Times New Roman" w:cs="Times New Roman"/>
                <w:sz w:val="20"/>
                <w:szCs w:val="20"/>
              </w:rPr>
              <w:t>Grāmatvedības sistēma nodrošina ka izmaksas tiek attiecinātas uz nesaimniecisko vai saimniecisko pamatdarbību vai pārējo saimniecisko darbību.</w:t>
            </w:r>
          </w:p>
        </w:tc>
        <w:tc>
          <w:tcPr>
            <w:tcW w:w="708" w:type="dxa"/>
            <w:gridSpan w:val="2"/>
          </w:tcPr>
          <w:p w:rsidR="003D18DE" w:rsidRPr="003E13F6" w:rsidRDefault="003D18DE" w:rsidP="000B0D9C">
            <w:pPr>
              <w:spacing w:before="120"/>
              <w:rPr>
                <w:rFonts w:ascii="Times New Roman" w:hAnsi="Times New Roman" w:cs="Times New Roman"/>
                <w:sz w:val="20"/>
                <w:szCs w:val="20"/>
              </w:rPr>
            </w:pPr>
          </w:p>
        </w:tc>
        <w:tc>
          <w:tcPr>
            <w:tcW w:w="709" w:type="dxa"/>
            <w:gridSpan w:val="2"/>
          </w:tcPr>
          <w:p w:rsidR="003D18DE" w:rsidRPr="003E13F6" w:rsidRDefault="003D18DE" w:rsidP="000B0D9C">
            <w:pPr>
              <w:spacing w:before="120"/>
              <w:rPr>
                <w:rFonts w:ascii="Times New Roman" w:hAnsi="Times New Roman" w:cs="Times New Roman"/>
                <w:sz w:val="20"/>
                <w:szCs w:val="20"/>
              </w:rPr>
            </w:pPr>
          </w:p>
        </w:tc>
        <w:tc>
          <w:tcPr>
            <w:tcW w:w="771" w:type="dxa"/>
            <w:gridSpan w:val="3"/>
          </w:tcPr>
          <w:p w:rsidR="003D18DE" w:rsidRPr="003E13F6" w:rsidRDefault="003D18DE" w:rsidP="00E153C8">
            <w:pPr>
              <w:spacing w:before="120"/>
              <w:rPr>
                <w:rFonts w:ascii="Times New Roman" w:hAnsi="Times New Roman" w:cs="Times New Roman"/>
                <w:sz w:val="20"/>
                <w:szCs w:val="20"/>
              </w:rPr>
            </w:pPr>
          </w:p>
        </w:tc>
        <w:tc>
          <w:tcPr>
            <w:tcW w:w="5750" w:type="dxa"/>
          </w:tcPr>
          <w:p w:rsidR="003D18DE" w:rsidRPr="003E13F6" w:rsidRDefault="003D18DE" w:rsidP="00E153C8">
            <w:pPr>
              <w:spacing w:before="120"/>
              <w:rPr>
                <w:rFonts w:ascii="Times New Roman" w:hAnsi="Times New Roman" w:cs="Times New Roman"/>
                <w:sz w:val="20"/>
                <w:szCs w:val="20"/>
              </w:rPr>
            </w:pPr>
          </w:p>
        </w:tc>
      </w:tr>
      <w:tr w:rsidR="003D18DE" w:rsidRPr="003E13F6" w:rsidTr="00C8314F">
        <w:trPr>
          <w:cantSplit/>
        </w:trPr>
        <w:tc>
          <w:tcPr>
            <w:tcW w:w="959" w:type="dxa"/>
            <w:vMerge/>
          </w:tcPr>
          <w:p w:rsidR="003D18DE" w:rsidRPr="003D18DE" w:rsidRDefault="003D18DE" w:rsidP="003D18DE">
            <w:pPr>
              <w:spacing w:before="120"/>
              <w:ind w:left="360"/>
              <w:rPr>
                <w:rFonts w:ascii="Times New Roman" w:hAnsi="Times New Roman" w:cs="Times New Roman"/>
                <w:sz w:val="20"/>
                <w:szCs w:val="20"/>
              </w:rPr>
            </w:pPr>
          </w:p>
        </w:tc>
        <w:tc>
          <w:tcPr>
            <w:tcW w:w="4678" w:type="dxa"/>
            <w:gridSpan w:val="2"/>
          </w:tcPr>
          <w:p w:rsidR="003D18DE" w:rsidRDefault="003D18DE" w:rsidP="00F4774C">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Izmaksām </w:t>
            </w:r>
            <w:r w:rsidRPr="003E13F6">
              <w:rPr>
                <w:rFonts w:ascii="Times New Roman" w:hAnsi="Times New Roman" w:cs="Times New Roman"/>
                <w:sz w:val="20"/>
                <w:szCs w:val="20"/>
              </w:rPr>
              <w:t>PO uzskaite</w:t>
            </w:r>
            <w:r>
              <w:rPr>
                <w:rFonts w:ascii="Times New Roman" w:hAnsi="Times New Roman" w:cs="Times New Roman"/>
                <w:sz w:val="20"/>
                <w:szCs w:val="20"/>
              </w:rPr>
              <w:t xml:space="preserve">s sistēmā tiek piešķirta papildus pazīme, tādejādi tos attiecinot uz </w:t>
            </w:r>
            <w:r w:rsidRPr="003E13F6">
              <w:rPr>
                <w:rFonts w:ascii="Times New Roman" w:hAnsi="Times New Roman" w:cs="Times New Roman"/>
                <w:sz w:val="20"/>
                <w:szCs w:val="20"/>
              </w:rPr>
              <w:t>atbilstoš</w:t>
            </w:r>
            <w:r>
              <w:rPr>
                <w:rFonts w:ascii="Times New Roman" w:hAnsi="Times New Roman" w:cs="Times New Roman"/>
                <w:sz w:val="20"/>
                <w:szCs w:val="20"/>
              </w:rPr>
              <w:t>u</w:t>
            </w:r>
            <w:r w:rsidRPr="003E13F6">
              <w:rPr>
                <w:rFonts w:ascii="Times New Roman" w:hAnsi="Times New Roman" w:cs="Times New Roman"/>
                <w:sz w:val="20"/>
                <w:szCs w:val="20"/>
              </w:rPr>
              <w:t xml:space="preserve"> projekt</w:t>
            </w:r>
            <w:r>
              <w:rPr>
                <w:rFonts w:ascii="Times New Roman" w:hAnsi="Times New Roman" w:cs="Times New Roman"/>
                <w:sz w:val="20"/>
                <w:szCs w:val="20"/>
              </w:rPr>
              <w:t>u</w:t>
            </w:r>
            <w:r w:rsidRPr="003E13F6">
              <w:rPr>
                <w:rFonts w:ascii="Times New Roman" w:hAnsi="Times New Roman" w:cs="Times New Roman"/>
                <w:sz w:val="20"/>
                <w:szCs w:val="20"/>
              </w:rPr>
              <w:t xml:space="preserve"> (</w:t>
            </w:r>
            <w:r w:rsidRPr="00A324DC">
              <w:rPr>
                <w:rFonts w:ascii="Times New Roman" w:hAnsi="Times New Roman" w:cs="Times New Roman"/>
                <w:sz w:val="20"/>
                <w:szCs w:val="20"/>
              </w:rPr>
              <w:t>grantu</w:t>
            </w:r>
            <w:r w:rsidRPr="003E13F6">
              <w:rPr>
                <w:rFonts w:ascii="Times New Roman" w:hAnsi="Times New Roman" w:cs="Times New Roman"/>
                <w:sz w:val="20"/>
                <w:szCs w:val="20"/>
              </w:rPr>
              <w:t>)</w:t>
            </w:r>
          </w:p>
        </w:tc>
        <w:tc>
          <w:tcPr>
            <w:tcW w:w="708" w:type="dxa"/>
            <w:gridSpan w:val="2"/>
          </w:tcPr>
          <w:p w:rsidR="003D18DE" w:rsidRPr="003E13F6" w:rsidRDefault="003D18DE" w:rsidP="000B0D9C">
            <w:pPr>
              <w:spacing w:before="120"/>
              <w:rPr>
                <w:rFonts w:ascii="Times New Roman" w:hAnsi="Times New Roman" w:cs="Times New Roman"/>
                <w:sz w:val="20"/>
                <w:szCs w:val="20"/>
              </w:rPr>
            </w:pPr>
          </w:p>
        </w:tc>
        <w:tc>
          <w:tcPr>
            <w:tcW w:w="709" w:type="dxa"/>
            <w:gridSpan w:val="2"/>
          </w:tcPr>
          <w:p w:rsidR="003D18DE" w:rsidRPr="003E13F6" w:rsidRDefault="003D18DE" w:rsidP="000B0D9C">
            <w:pPr>
              <w:spacing w:before="120"/>
              <w:rPr>
                <w:rFonts w:ascii="Times New Roman" w:hAnsi="Times New Roman" w:cs="Times New Roman"/>
                <w:sz w:val="20"/>
                <w:szCs w:val="20"/>
              </w:rPr>
            </w:pPr>
          </w:p>
        </w:tc>
        <w:tc>
          <w:tcPr>
            <w:tcW w:w="771" w:type="dxa"/>
            <w:gridSpan w:val="3"/>
          </w:tcPr>
          <w:p w:rsidR="003D18DE" w:rsidRPr="003E13F6" w:rsidRDefault="003D18DE" w:rsidP="000B0D9C">
            <w:pPr>
              <w:spacing w:before="120"/>
              <w:rPr>
                <w:rFonts w:ascii="Times New Roman" w:hAnsi="Times New Roman" w:cs="Times New Roman"/>
                <w:sz w:val="20"/>
                <w:szCs w:val="20"/>
              </w:rPr>
            </w:pPr>
          </w:p>
        </w:tc>
        <w:tc>
          <w:tcPr>
            <w:tcW w:w="5750" w:type="dxa"/>
          </w:tcPr>
          <w:p w:rsidR="003D18DE" w:rsidRPr="003E13F6" w:rsidRDefault="003D18DE" w:rsidP="000B0D9C">
            <w:pPr>
              <w:spacing w:before="120"/>
              <w:rPr>
                <w:rFonts w:ascii="Times New Roman" w:hAnsi="Times New Roman" w:cs="Times New Roman"/>
                <w:sz w:val="20"/>
                <w:szCs w:val="20"/>
              </w:rPr>
            </w:pPr>
          </w:p>
        </w:tc>
      </w:tr>
      <w:tr w:rsidR="00CB34E0" w:rsidRPr="003E13F6" w:rsidTr="00C8314F">
        <w:trPr>
          <w:cantSplit/>
        </w:trPr>
        <w:tc>
          <w:tcPr>
            <w:tcW w:w="959" w:type="dxa"/>
            <w:vMerge/>
          </w:tcPr>
          <w:p w:rsidR="00CB34E0" w:rsidRPr="003D18DE" w:rsidRDefault="00CB34E0" w:rsidP="003D18DE">
            <w:pPr>
              <w:spacing w:before="120"/>
              <w:ind w:left="360"/>
              <w:rPr>
                <w:rFonts w:ascii="Times New Roman" w:hAnsi="Times New Roman" w:cs="Times New Roman"/>
                <w:sz w:val="20"/>
                <w:szCs w:val="20"/>
              </w:rPr>
            </w:pPr>
          </w:p>
        </w:tc>
        <w:tc>
          <w:tcPr>
            <w:tcW w:w="4678" w:type="dxa"/>
            <w:gridSpan w:val="2"/>
            <w:shd w:val="clear" w:color="auto" w:fill="FFFFFF" w:themeFill="background1"/>
          </w:tcPr>
          <w:p w:rsidR="00CB34E0" w:rsidRPr="00106650" w:rsidRDefault="00CB34E0" w:rsidP="002C05A3">
            <w:pPr>
              <w:spacing w:before="120" w:after="120"/>
              <w:jc w:val="both"/>
              <w:rPr>
                <w:rFonts w:ascii="Times New Roman" w:hAnsi="Times New Roman" w:cs="Times New Roman"/>
                <w:sz w:val="20"/>
                <w:szCs w:val="20"/>
              </w:rPr>
            </w:pPr>
            <w:r>
              <w:rPr>
                <w:rFonts w:ascii="Times New Roman" w:hAnsi="Times New Roman" w:cs="Times New Roman"/>
                <w:sz w:val="20"/>
                <w:szCs w:val="20"/>
              </w:rPr>
              <w:t>U</w:t>
            </w:r>
            <w:r w:rsidRPr="003E13F6">
              <w:rPr>
                <w:rFonts w:ascii="Times New Roman" w:hAnsi="Times New Roman" w:cs="Times New Roman"/>
                <w:sz w:val="20"/>
                <w:szCs w:val="20"/>
              </w:rPr>
              <w:t>zskaite</w:t>
            </w:r>
            <w:r>
              <w:rPr>
                <w:rFonts w:ascii="Times New Roman" w:hAnsi="Times New Roman" w:cs="Times New Roman"/>
                <w:sz w:val="20"/>
                <w:szCs w:val="20"/>
              </w:rPr>
              <w:t>s sistēma nodrošina netiešo izmaksu uzskaiti, piešķirot papildus pazīmi, pēc kuras var atlasīt visas netiešās izmaksas</w:t>
            </w:r>
          </w:p>
        </w:tc>
        <w:tc>
          <w:tcPr>
            <w:tcW w:w="708" w:type="dxa"/>
            <w:gridSpan w:val="2"/>
          </w:tcPr>
          <w:p w:rsidR="00CB34E0" w:rsidRPr="003E13F6" w:rsidRDefault="00CB34E0" w:rsidP="000B0D9C">
            <w:pPr>
              <w:spacing w:before="120"/>
              <w:rPr>
                <w:rFonts w:ascii="Times New Roman" w:hAnsi="Times New Roman" w:cs="Times New Roman"/>
                <w:sz w:val="20"/>
                <w:szCs w:val="20"/>
              </w:rPr>
            </w:pPr>
          </w:p>
        </w:tc>
        <w:tc>
          <w:tcPr>
            <w:tcW w:w="709" w:type="dxa"/>
            <w:gridSpan w:val="2"/>
          </w:tcPr>
          <w:p w:rsidR="00CB34E0" w:rsidRPr="003E13F6" w:rsidRDefault="00CB34E0" w:rsidP="000B0D9C">
            <w:pPr>
              <w:spacing w:before="120"/>
              <w:rPr>
                <w:rFonts w:ascii="Times New Roman" w:hAnsi="Times New Roman" w:cs="Times New Roman"/>
                <w:sz w:val="20"/>
                <w:szCs w:val="20"/>
              </w:rPr>
            </w:pPr>
          </w:p>
        </w:tc>
        <w:tc>
          <w:tcPr>
            <w:tcW w:w="771" w:type="dxa"/>
            <w:gridSpan w:val="3"/>
          </w:tcPr>
          <w:p w:rsidR="00CB34E0" w:rsidRPr="003E13F6" w:rsidRDefault="00CB34E0" w:rsidP="000B0D9C">
            <w:pPr>
              <w:spacing w:before="120"/>
              <w:rPr>
                <w:rFonts w:ascii="Times New Roman" w:hAnsi="Times New Roman" w:cs="Times New Roman"/>
                <w:sz w:val="20"/>
                <w:szCs w:val="20"/>
              </w:rPr>
            </w:pPr>
          </w:p>
        </w:tc>
        <w:tc>
          <w:tcPr>
            <w:tcW w:w="5750" w:type="dxa"/>
          </w:tcPr>
          <w:p w:rsidR="00CB34E0" w:rsidRPr="003E13F6" w:rsidRDefault="00CB34E0" w:rsidP="000B0D9C">
            <w:pPr>
              <w:spacing w:before="120"/>
              <w:rPr>
                <w:rFonts w:ascii="Times New Roman" w:hAnsi="Times New Roman" w:cs="Times New Roman"/>
                <w:sz w:val="20"/>
                <w:szCs w:val="20"/>
              </w:rPr>
            </w:pPr>
          </w:p>
        </w:tc>
      </w:tr>
      <w:tr w:rsidR="00CB34E0" w:rsidRPr="003E13F6" w:rsidTr="00C8314F">
        <w:trPr>
          <w:cantSplit/>
        </w:trPr>
        <w:tc>
          <w:tcPr>
            <w:tcW w:w="959" w:type="dxa"/>
            <w:vMerge/>
          </w:tcPr>
          <w:p w:rsidR="00CB34E0" w:rsidRPr="003D18DE" w:rsidRDefault="00CB34E0" w:rsidP="003D18DE">
            <w:pPr>
              <w:spacing w:before="120"/>
              <w:ind w:left="360"/>
              <w:rPr>
                <w:rFonts w:ascii="Times New Roman" w:hAnsi="Times New Roman" w:cs="Times New Roman"/>
                <w:sz w:val="20"/>
                <w:szCs w:val="20"/>
              </w:rPr>
            </w:pPr>
          </w:p>
        </w:tc>
        <w:tc>
          <w:tcPr>
            <w:tcW w:w="4678" w:type="dxa"/>
            <w:gridSpan w:val="2"/>
            <w:shd w:val="clear" w:color="auto" w:fill="FFFFFF" w:themeFill="background1"/>
          </w:tcPr>
          <w:p w:rsidR="00CB34E0" w:rsidRDefault="00BF2623" w:rsidP="00265A12">
            <w:pPr>
              <w:spacing w:before="120" w:after="120"/>
              <w:jc w:val="both"/>
              <w:rPr>
                <w:rFonts w:ascii="Times New Roman" w:hAnsi="Times New Roman" w:cs="Times New Roman"/>
                <w:sz w:val="20"/>
                <w:szCs w:val="20"/>
              </w:rPr>
            </w:pPr>
            <w:r>
              <w:rPr>
                <w:rFonts w:ascii="Times New Roman" w:hAnsi="Times New Roman" w:cs="Times New Roman"/>
                <w:sz w:val="20"/>
                <w:szCs w:val="20"/>
              </w:rPr>
              <w:t>Uzskaitītās (iegrāmatotās)</w:t>
            </w:r>
            <w:r w:rsidR="00265A12">
              <w:rPr>
                <w:rFonts w:ascii="Times New Roman" w:hAnsi="Times New Roman" w:cs="Times New Roman"/>
                <w:sz w:val="20"/>
                <w:szCs w:val="20"/>
              </w:rPr>
              <w:t xml:space="preserve"> n</w:t>
            </w:r>
            <w:r w:rsidR="00CB34E0">
              <w:rPr>
                <w:rFonts w:ascii="Times New Roman" w:hAnsi="Times New Roman" w:cs="Times New Roman"/>
                <w:sz w:val="20"/>
                <w:szCs w:val="20"/>
              </w:rPr>
              <w:t>etieš</w:t>
            </w:r>
            <w:r w:rsidR="00265A12">
              <w:rPr>
                <w:rFonts w:ascii="Times New Roman" w:hAnsi="Times New Roman" w:cs="Times New Roman"/>
                <w:sz w:val="20"/>
                <w:szCs w:val="20"/>
              </w:rPr>
              <w:t>ās</w:t>
            </w:r>
            <w:r w:rsidR="00CB34E0">
              <w:rPr>
                <w:rFonts w:ascii="Times New Roman" w:hAnsi="Times New Roman" w:cs="Times New Roman"/>
                <w:sz w:val="20"/>
                <w:szCs w:val="20"/>
              </w:rPr>
              <w:t xml:space="preserve"> izmaks</w:t>
            </w:r>
            <w:r w:rsidR="00265A12">
              <w:rPr>
                <w:rFonts w:ascii="Times New Roman" w:hAnsi="Times New Roman" w:cs="Times New Roman"/>
                <w:sz w:val="20"/>
                <w:szCs w:val="20"/>
              </w:rPr>
              <w:t>as</w:t>
            </w:r>
            <w:r w:rsidR="00CB34E0">
              <w:rPr>
                <w:rFonts w:ascii="Times New Roman" w:hAnsi="Times New Roman" w:cs="Times New Roman"/>
                <w:sz w:val="20"/>
                <w:szCs w:val="20"/>
              </w:rPr>
              <w:t xml:space="preserve"> </w:t>
            </w:r>
            <w:r w:rsidR="00265A12">
              <w:rPr>
                <w:rFonts w:ascii="Times New Roman" w:hAnsi="Times New Roman" w:cs="Times New Roman"/>
                <w:sz w:val="20"/>
                <w:szCs w:val="20"/>
              </w:rPr>
              <w:t xml:space="preserve">atbilst netiešo izmaksu klasifikācijai saskaņā ar </w:t>
            </w:r>
            <w:r w:rsidR="00CB34E0">
              <w:rPr>
                <w:rFonts w:ascii="Times New Roman" w:hAnsi="Times New Roman" w:cs="Times New Roman"/>
                <w:sz w:val="20"/>
                <w:szCs w:val="20"/>
              </w:rPr>
              <w:t>grāmatvedības politiku</w:t>
            </w:r>
          </w:p>
        </w:tc>
        <w:tc>
          <w:tcPr>
            <w:tcW w:w="708" w:type="dxa"/>
            <w:gridSpan w:val="2"/>
          </w:tcPr>
          <w:p w:rsidR="00CB34E0" w:rsidRPr="003E13F6" w:rsidRDefault="00CB34E0" w:rsidP="000B0D9C">
            <w:pPr>
              <w:spacing w:before="120"/>
              <w:rPr>
                <w:rFonts w:ascii="Times New Roman" w:hAnsi="Times New Roman" w:cs="Times New Roman"/>
                <w:sz w:val="20"/>
                <w:szCs w:val="20"/>
              </w:rPr>
            </w:pPr>
          </w:p>
        </w:tc>
        <w:tc>
          <w:tcPr>
            <w:tcW w:w="709" w:type="dxa"/>
            <w:gridSpan w:val="2"/>
          </w:tcPr>
          <w:p w:rsidR="00CB34E0" w:rsidRPr="003E13F6" w:rsidRDefault="00CB34E0" w:rsidP="000B0D9C">
            <w:pPr>
              <w:spacing w:before="120"/>
              <w:rPr>
                <w:rFonts w:ascii="Times New Roman" w:hAnsi="Times New Roman" w:cs="Times New Roman"/>
                <w:sz w:val="20"/>
                <w:szCs w:val="20"/>
              </w:rPr>
            </w:pPr>
          </w:p>
        </w:tc>
        <w:tc>
          <w:tcPr>
            <w:tcW w:w="771" w:type="dxa"/>
            <w:gridSpan w:val="3"/>
          </w:tcPr>
          <w:p w:rsidR="00CB34E0" w:rsidRPr="003E13F6" w:rsidRDefault="00CB34E0" w:rsidP="000B0D9C">
            <w:pPr>
              <w:spacing w:before="120"/>
              <w:rPr>
                <w:rFonts w:ascii="Times New Roman" w:hAnsi="Times New Roman" w:cs="Times New Roman"/>
                <w:sz w:val="20"/>
                <w:szCs w:val="20"/>
              </w:rPr>
            </w:pPr>
          </w:p>
        </w:tc>
        <w:tc>
          <w:tcPr>
            <w:tcW w:w="5750" w:type="dxa"/>
          </w:tcPr>
          <w:p w:rsidR="00CB34E0" w:rsidRPr="003E13F6" w:rsidRDefault="00CB34E0" w:rsidP="000B0D9C">
            <w:pPr>
              <w:spacing w:before="120"/>
              <w:rPr>
                <w:rFonts w:ascii="Times New Roman" w:hAnsi="Times New Roman" w:cs="Times New Roman"/>
                <w:sz w:val="20"/>
                <w:szCs w:val="20"/>
              </w:rPr>
            </w:pPr>
          </w:p>
        </w:tc>
      </w:tr>
      <w:tr w:rsidR="00CB34E0" w:rsidRPr="003E13F6" w:rsidTr="00C8314F">
        <w:trPr>
          <w:cantSplit/>
        </w:trPr>
        <w:tc>
          <w:tcPr>
            <w:tcW w:w="13575" w:type="dxa"/>
            <w:gridSpan w:val="11"/>
          </w:tcPr>
          <w:p w:rsidR="00CB34E0" w:rsidRPr="00E546B7" w:rsidRDefault="00CB34E0" w:rsidP="00CB34E0">
            <w:pPr>
              <w:spacing w:before="120" w:after="120"/>
              <w:jc w:val="both"/>
              <w:rPr>
                <w:rFonts w:ascii="Times New Roman" w:hAnsi="Times New Roman" w:cs="Times New Roman"/>
                <w:b/>
                <w:sz w:val="24"/>
                <w:szCs w:val="24"/>
              </w:rPr>
            </w:pPr>
            <w:r w:rsidRPr="00E546B7">
              <w:rPr>
                <w:rFonts w:ascii="Times New Roman" w:hAnsi="Times New Roman" w:cs="Times New Roman"/>
                <w:b/>
                <w:sz w:val="24"/>
                <w:szCs w:val="24"/>
              </w:rPr>
              <w:t>Netieš</w:t>
            </w:r>
            <w:r>
              <w:rPr>
                <w:rFonts w:ascii="Times New Roman" w:hAnsi="Times New Roman" w:cs="Times New Roman"/>
                <w:b/>
                <w:sz w:val="24"/>
                <w:szCs w:val="24"/>
              </w:rPr>
              <w:t>o</w:t>
            </w:r>
            <w:r w:rsidRPr="00E546B7">
              <w:rPr>
                <w:rFonts w:ascii="Times New Roman" w:hAnsi="Times New Roman" w:cs="Times New Roman"/>
                <w:b/>
                <w:sz w:val="24"/>
                <w:szCs w:val="24"/>
              </w:rPr>
              <w:t xml:space="preserve"> izmaks</w:t>
            </w:r>
            <w:r>
              <w:rPr>
                <w:rFonts w:ascii="Times New Roman" w:hAnsi="Times New Roman" w:cs="Times New Roman"/>
                <w:b/>
                <w:sz w:val="24"/>
                <w:szCs w:val="24"/>
              </w:rPr>
              <w:t>u aprēķins</w:t>
            </w:r>
          </w:p>
        </w:tc>
      </w:tr>
      <w:tr w:rsidR="0096471E" w:rsidRPr="003E13F6" w:rsidTr="00C8314F">
        <w:trPr>
          <w:cantSplit/>
        </w:trPr>
        <w:tc>
          <w:tcPr>
            <w:tcW w:w="959" w:type="dxa"/>
            <w:vMerge w:val="restart"/>
          </w:tcPr>
          <w:p w:rsidR="0096471E" w:rsidRPr="003E13F6" w:rsidRDefault="0096471E" w:rsidP="00942CE8">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96471E" w:rsidRDefault="0096471E" w:rsidP="00B26C2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Netiešās izmaksas tiek attiecinātas uz projektiem </w:t>
            </w:r>
            <w:r w:rsidRPr="00A00DFF">
              <w:rPr>
                <w:rFonts w:ascii="Times New Roman" w:hAnsi="Times New Roman" w:cs="Times New Roman"/>
                <w:sz w:val="20"/>
                <w:szCs w:val="20"/>
              </w:rPr>
              <w:t xml:space="preserve">ievērojot </w:t>
            </w:r>
            <w:r>
              <w:rPr>
                <w:rFonts w:ascii="Times New Roman" w:hAnsi="Times New Roman" w:cs="Times New Roman"/>
                <w:sz w:val="20"/>
                <w:szCs w:val="20"/>
              </w:rPr>
              <w:t xml:space="preserve">PO </w:t>
            </w:r>
            <w:r w:rsidRPr="00A00DFF">
              <w:rPr>
                <w:rFonts w:ascii="Times New Roman" w:hAnsi="Times New Roman" w:cs="Times New Roman"/>
                <w:sz w:val="20"/>
                <w:szCs w:val="20"/>
              </w:rPr>
              <w:t>grāmatvedības politikā noteiktos principus</w:t>
            </w:r>
          </w:p>
        </w:tc>
        <w:tc>
          <w:tcPr>
            <w:tcW w:w="708" w:type="dxa"/>
            <w:gridSpan w:val="2"/>
          </w:tcPr>
          <w:p w:rsidR="0096471E" w:rsidRPr="003E13F6" w:rsidRDefault="0096471E" w:rsidP="000B0D9C">
            <w:pPr>
              <w:spacing w:before="120"/>
              <w:rPr>
                <w:rFonts w:ascii="Times New Roman" w:hAnsi="Times New Roman" w:cs="Times New Roman"/>
                <w:sz w:val="20"/>
                <w:szCs w:val="20"/>
              </w:rPr>
            </w:pPr>
          </w:p>
        </w:tc>
        <w:tc>
          <w:tcPr>
            <w:tcW w:w="709" w:type="dxa"/>
            <w:gridSpan w:val="2"/>
          </w:tcPr>
          <w:p w:rsidR="0096471E" w:rsidRPr="003E13F6" w:rsidRDefault="0096471E" w:rsidP="000B0D9C">
            <w:pPr>
              <w:spacing w:before="120"/>
              <w:rPr>
                <w:rFonts w:ascii="Times New Roman" w:hAnsi="Times New Roman" w:cs="Times New Roman"/>
                <w:sz w:val="20"/>
                <w:szCs w:val="20"/>
              </w:rPr>
            </w:pPr>
          </w:p>
        </w:tc>
        <w:tc>
          <w:tcPr>
            <w:tcW w:w="771" w:type="dxa"/>
            <w:gridSpan w:val="3"/>
          </w:tcPr>
          <w:p w:rsidR="0096471E" w:rsidRPr="003E13F6" w:rsidRDefault="0096471E" w:rsidP="000B0D9C">
            <w:pPr>
              <w:spacing w:before="120"/>
              <w:rPr>
                <w:rFonts w:ascii="Times New Roman" w:hAnsi="Times New Roman" w:cs="Times New Roman"/>
                <w:sz w:val="20"/>
                <w:szCs w:val="20"/>
              </w:rPr>
            </w:pPr>
          </w:p>
        </w:tc>
        <w:tc>
          <w:tcPr>
            <w:tcW w:w="5750" w:type="dxa"/>
          </w:tcPr>
          <w:p w:rsidR="0096471E" w:rsidRPr="003E13F6" w:rsidRDefault="0096471E" w:rsidP="000B0D9C">
            <w:pPr>
              <w:spacing w:before="120"/>
              <w:rPr>
                <w:rFonts w:ascii="Times New Roman" w:hAnsi="Times New Roman" w:cs="Times New Roman"/>
                <w:sz w:val="20"/>
                <w:szCs w:val="20"/>
              </w:rPr>
            </w:pPr>
          </w:p>
        </w:tc>
      </w:tr>
      <w:tr w:rsidR="0096471E" w:rsidRPr="003E13F6" w:rsidTr="00C8314F">
        <w:trPr>
          <w:cantSplit/>
        </w:trPr>
        <w:tc>
          <w:tcPr>
            <w:tcW w:w="959" w:type="dxa"/>
            <w:vMerge/>
          </w:tcPr>
          <w:p w:rsidR="0096471E" w:rsidRPr="0096471E" w:rsidRDefault="0096471E" w:rsidP="0096471E">
            <w:pPr>
              <w:spacing w:before="120"/>
              <w:ind w:left="360"/>
              <w:rPr>
                <w:rFonts w:ascii="Times New Roman" w:hAnsi="Times New Roman" w:cs="Times New Roman"/>
                <w:sz w:val="20"/>
                <w:szCs w:val="20"/>
              </w:rPr>
            </w:pPr>
          </w:p>
        </w:tc>
        <w:tc>
          <w:tcPr>
            <w:tcW w:w="4678" w:type="dxa"/>
            <w:gridSpan w:val="2"/>
          </w:tcPr>
          <w:p w:rsidR="0096471E" w:rsidRDefault="0096471E" w:rsidP="0083464A">
            <w:pPr>
              <w:spacing w:before="120" w:after="120"/>
              <w:jc w:val="both"/>
              <w:rPr>
                <w:rFonts w:ascii="Times New Roman" w:hAnsi="Times New Roman" w:cs="Times New Roman"/>
                <w:sz w:val="20"/>
                <w:szCs w:val="20"/>
              </w:rPr>
            </w:pPr>
            <w:r>
              <w:rPr>
                <w:rFonts w:ascii="Times New Roman" w:hAnsi="Times New Roman" w:cs="Times New Roman"/>
                <w:sz w:val="20"/>
                <w:szCs w:val="20"/>
              </w:rPr>
              <w:t>Netiešās izmaksas tiek attiecinātas matemātiski pareizi</w:t>
            </w:r>
          </w:p>
        </w:tc>
        <w:tc>
          <w:tcPr>
            <w:tcW w:w="708" w:type="dxa"/>
            <w:gridSpan w:val="2"/>
          </w:tcPr>
          <w:p w:rsidR="0096471E" w:rsidRPr="003E13F6" w:rsidRDefault="0096471E" w:rsidP="000B0D9C">
            <w:pPr>
              <w:spacing w:before="120"/>
              <w:rPr>
                <w:rFonts w:ascii="Times New Roman" w:hAnsi="Times New Roman" w:cs="Times New Roman"/>
                <w:sz w:val="20"/>
                <w:szCs w:val="20"/>
              </w:rPr>
            </w:pPr>
          </w:p>
        </w:tc>
        <w:tc>
          <w:tcPr>
            <w:tcW w:w="709" w:type="dxa"/>
            <w:gridSpan w:val="2"/>
          </w:tcPr>
          <w:p w:rsidR="0096471E" w:rsidRPr="003E13F6" w:rsidRDefault="0096471E" w:rsidP="000B0D9C">
            <w:pPr>
              <w:spacing w:before="120"/>
              <w:rPr>
                <w:rFonts w:ascii="Times New Roman" w:hAnsi="Times New Roman" w:cs="Times New Roman"/>
                <w:sz w:val="20"/>
                <w:szCs w:val="20"/>
              </w:rPr>
            </w:pPr>
          </w:p>
        </w:tc>
        <w:tc>
          <w:tcPr>
            <w:tcW w:w="771" w:type="dxa"/>
            <w:gridSpan w:val="3"/>
          </w:tcPr>
          <w:p w:rsidR="0096471E" w:rsidRPr="007C5E26" w:rsidRDefault="0096471E" w:rsidP="000B0D9C">
            <w:pPr>
              <w:spacing w:before="120"/>
              <w:rPr>
                <w:rFonts w:ascii="Times New Roman" w:hAnsi="Times New Roman" w:cs="Times New Roman"/>
                <w:color w:val="FF0000"/>
                <w:sz w:val="20"/>
                <w:szCs w:val="20"/>
              </w:rPr>
            </w:pPr>
          </w:p>
        </w:tc>
        <w:tc>
          <w:tcPr>
            <w:tcW w:w="5750" w:type="dxa"/>
          </w:tcPr>
          <w:p w:rsidR="0096471E" w:rsidRPr="003E13F6" w:rsidRDefault="0096471E" w:rsidP="000B0D9C">
            <w:pPr>
              <w:spacing w:before="120"/>
              <w:rPr>
                <w:rFonts w:ascii="Times New Roman" w:hAnsi="Times New Roman" w:cs="Times New Roman"/>
                <w:sz w:val="20"/>
                <w:szCs w:val="20"/>
              </w:rPr>
            </w:pPr>
          </w:p>
        </w:tc>
      </w:tr>
      <w:tr w:rsidR="00CB34E0" w:rsidRPr="00703906" w:rsidTr="00C8314F">
        <w:trPr>
          <w:cantSplit/>
        </w:trPr>
        <w:tc>
          <w:tcPr>
            <w:tcW w:w="13575" w:type="dxa"/>
            <w:gridSpan w:val="11"/>
          </w:tcPr>
          <w:p w:rsidR="00CB34E0" w:rsidRPr="00703906" w:rsidRDefault="00CB34E0" w:rsidP="00B92785">
            <w:pPr>
              <w:spacing w:before="120" w:after="120"/>
              <w:jc w:val="both"/>
              <w:rPr>
                <w:rFonts w:ascii="Times New Roman" w:hAnsi="Times New Roman" w:cs="Times New Roman"/>
                <w:b/>
                <w:sz w:val="24"/>
                <w:szCs w:val="24"/>
              </w:rPr>
            </w:pPr>
            <w:r w:rsidRPr="00703906">
              <w:rPr>
                <w:rFonts w:ascii="Times New Roman" w:hAnsi="Times New Roman" w:cs="Times New Roman"/>
                <w:b/>
                <w:sz w:val="24"/>
                <w:szCs w:val="24"/>
              </w:rPr>
              <w:t>Pašizmaksas aprēķins</w:t>
            </w:r>
          </w:p>
        </w:tc>
      </w:tr>
      <w:tr w:rsidR="006973C9" w:rsidRPr="003E13F6" w:rsidTr="00C8314F">
        <w:trPr>
          <w:cantSplit/>
        </w:trPr>
        <w:tc>
          <w:tcPr>
            <w:tcW w:w="959" w:type="dxa"/>
            <w:vMerge w:val="restart"/>
          </w:tcPr>
          <w:p w:rsidR="006973C9" w:rsidRPr="003E13F6" w:rsidRDefault="006973C9" w:rsidP="00942CE8">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6973C9" w:rsidRDefault="006973C9" w:rsidP="00F4774C">
            <w:pPr>
              <w:spacing w:before="120" w:after="120"/>
              <w:jc w:val="both"/>
              <w:rPr>
                <w:rFonts w:ascii="Times New Roman" w:hAnsi="Times New Roman" w:cs="Times New Roman"/>
                <w:sz w:val="20"/>
                <w:szCs w:val="20"/>
              </w:rPr>
            </w:pPr>
            <w:r w:rsidRPr="00A00DFF">
              <w:rPr>
                <w:rFonts w:ascii="Times New Roman" w:hAnsi="Times New Roman" w:cs="Times New Roman"/>
                <w:sz w:val="20"/>
                <w:szCs w:val="20"/>
              </w:rPr>
              <w:t xml:space="preserve">PO grāmatvedības politikā </w:t>
            </w:r>
            <w:r>
              <w:rPr>
                <w:rFonts w:ascii="Times New Roman" w:hAnsi="Times New Roman" w:cs="Times New Roman"/>
                <w:sz w:val="20"/>
                <w:szCs w:val="20"/>
              </w:rPr>
              <w:t xml:space="preserve">ir ietverta </w:t>
            </w:r>
            <w:r w:rsidRPr="00A00DFF">
              <w:rPr>
                <w:rFonts w:ascii="Times New Roman" w:hAnsi="Times New Roman" w:cs="Times New Roman"/>
                <w:sz w:val="20"/>
                <w:szCs w:val="20"/>
              </w:rPr>
              <w:t xml:space="preserve">pakalpojumu, produktu, tehnoloģiju, prototipu un intelektuālo īpašumu </w:t>
            </w:r>
            <w:r w:rsidRPr="00081CD7">
              <w:rPr>
                <w:rFonts w:ascii="Times New Roman" w:hAnsi="Times New Roman" w:cs="Times New Roman"/>
                <w:sz w:val="20"/>
                <w:szCs w:val="20"/>
              </w:rPr>
              <w:t>pašizmaksas aprēķināšanas metode</w:t>
            </w:r>
            <w:r>
              <w:rPr>
                <w:rFonts w:ascii="Times New Roman" w:hAnsi="Times New Roman" w:cs="Times New Roman"/>
                <w:sz w:val="20"/>
                <w:szCs w:val="20"/>
              </w:rPr>
              <w:t>, kas ir racionāla un atbilstoša PO darbības specifikai</w:t>
            </w:r>
          </w:p>
        </w:tc>
        <w:tc>
          <w:tcPr>
            <w:tcW w:w="708" w:type="dxa"/>
            <w:gridSpan w:val="2"/>
          </w:tcPr>
          <w:p w:rsidR="006973C9" w:rsidRPr="003E13F6" w:rsidRDefault="006973C9" w:rsidP="000B0D9C">
            <w:pPr>
              <w:spacing w:before="120"/>
              <w:rPr>
                <w:rFonts w:ascii="Times New Roman" w:hAnsi="Times New Roman" w:cs="Times New Roman"/>
                <w:sz w:val="20"/>
                <w:szCs w:val="20"/>
              </w:rPr>
            </w:pPr>
          </w:p>
        </w:tc>
        <w:tc>
          <w:tcPr>
            <w:tcW w:w="709" w:type="dxa"/>
            <w:gridSpan w:val="2"/>
          </w:tcPr>
          <w:p w:rsidR="006973C9" w:rsidRPr="003E13F6" w:rsidRDefault="006973C9" w:rsidP="000B0D9C">
            <w:pPr>
              <w:spacing w:before="120"/>
              <w:rPr>
                <w:rFonts w:ascii="Times New Roman" w:hAnsi="Times New Roman" w:cs="Times New Roman"/>
                <w:sz w:val="20"/>
                <w:szCs w:val="20"/>
              </w:rPr>
            </w:pPr>
          </w:p>
        </w:tc>
        <w:tc>
          <w:tcPr>
            <w:tcW w:w="771" w:type="dxa"/>
            <w:gridSpan w:val="3"/>
          </w:tcPr>
          <w:p w:rsidR="006973C9" w:rsidRPr="003E13F6" w:rsidRDefault="006973C9" w:rsidP="000B0D9C">
            <w:pPr>
              <w:spacing w:before="120"/>
              <w:rPr>
                <w:rFonts w:ascii="Times New Roman" w:hAnsi="Times New Roman" w:cs="Times New Roman"/>
                <w:sz w:val="20"/>
                <w:szCs w:val="20"/>
              </w:rPr>
            </w:pPr>
          </w:p>
        </w:tc>
        <w:tc>
          <w:tcPr>
            <w:tcW w:w="5750" w:type="dxa"/>
          </w:tcPr>
          <w:p w:rsidR="006973C9" w:rsidRPr="003E13F6" w:rsidRDefault="006973C9" w:rsidP="000B0D9C">
            <w:pPr>
              <w:spacing w:before="120"/>
              <w:rPr>
                <w:rFonts w:ascii="Times New Roman" w:hAnsi="Times New Roman" w:cs="Times New Roman"/>
                <w:sz w:val="20"/>
                <w:szCs w:val="20"/>
              </w:rPr>
            </w:pPr>
            <w:r>
              <w:rPr>
                <w:rFonts w:ascii="Times New Roman" w:hAnsi="Times New Roman" w:cs="Times New Roman"/>
                <w:sz w:val="20"/>
                <w:szCs w:val="20"/>
              </w:rPr>
              <w:t xml:space="preserve"> </w:t>
            </w:r>
          </w:p>
        </w:tc>
      </w:tr>
      <w:tr w:rsidR="006973C9" w:rsidRPr="003E13F6" w:rsidTr="00C8314F">
        <w:trPr>
          <w:cantSplit/>
        </w:trPr>
        <w:tc>
          <w:tcPr>
            <w:tcW w:w="959" w:type="dxa"/>
            <w:vMerge/>
          </w:tcPr>
          <w:p w:rsidR="006973C9" w:rsidRPr="006973C9" w:rsidRDefault="006973C9" w:rsidP="006973C9">
            <w:pPr>
              <w:spacing w:before="120"/>
              <w:ind w:left="360"/>
              <w:rPr>
                <w:rFonts w:ascii="Times New Roman" w:hAnsi="Times New Roman" w:cs="Times New Roman"/>
                <w:sz w:val="20"/>
                <w:szCs w:val="20"/>
              </w:rPr>
            </w:pPr>
          </w:p>
        </w:tc>
        <w:tc>
          <w:tcPr>
            <w:tcW w:w="4678" w:type="dxa"/>
            <w:gridSpan w:val="2"/>
          </w:tcPr>
          <w:p w:rsidR="006973C9" w:rsidRPr="00A00DFF" w:rsidRDefault="006973C9" w:rsidP="00B92785">
            <w:pPr>
              <w:spacing w:before="120" w:after="120"/>
              <w:jc w:val="both"/>
              <w:rPr>
                <w:rFonts w:ascii="Times New Roman" w:hAnsi="Times New Roman" w:cs="Times New Roman"/>
                <w:sz w:val="20"/>
                <w:szCs w:val="20"/>
              </w:rPr>
            </w:pPr>
            <w:r>
              <w:rPr>
                <w:rFonts w:ascii="Times New Roman" w:hAnsi="Times New Roman" w:cs="Times New Roman"/>
                <w:sz w:val="20"/>
                <w:szCs w:val="20"/>
              </w:rPr>
              <w:t>PO pielietotā</w:t>
            </w:r>
            <w:r w:rsidRPr="00B800C3">
              <w:rPr>
                <w:rFonts w:ascii="Times New Roman" w:hAnsi="Times New Roman" w:cs="Times New Roman"/>
                <w:sz w:val="20"/>
                <w:szCs w:val="20"/>
              </w:rPr>
              <w:t xml:space="preserve"> p</w:t>
            </w:r>
            <w:r>
              <w:rPr>
                <w:rFonts w:ascii="Times New Roman" w:hAnsi="Times New Roman" w:cs="Times New Roman"/>
                <w:sz w:val="20"/>
                <w:szCs w:val="20"/>
              </w:rPr>
              <w:t>ašizmaksas aprēķināšanas metode</w:t>
            </w:r>
            <w:r w:rsidRPr="00B800C3">
              <w:rPr>
                <w:rFonts w:ascii="Times New Roman" w:hAnsi="Times New Roman" w:cs="Times New Roman"/>
                <w:sz w:val="20"/>
                <w:szCs w:val="20"/>
              </w:rPr>
              <w:t xml:space="preserve"> ir saskaņā ar </w:t>
            </w:r>
            <w:r>
              <w:rPr>
                <w:rFonts w:ascii="Times New Roman" w:hAnsi="Times New Roman" w:cs="Times New Roman"/>
                <w:sz w:val="20"/>
                <w:szCs w:val="20"/>
              </w:rPr>
              <w:t xml:space="preserve">PO </w:t>
            </w:r>
            <w:r w:rsidRPr="00DE5D92">
              <w:rPr>
                <w:rFonts w:ascii="Times New Roman" w:hAnsi="Times New Roman" w:cs="Times New Roman"/>
                <w:sz w:val="20"/>
                <w:szCs w:val="20"/>
              </w:rPr>
              <w:t>grāmatvedības politikā</w:t>
            </w:r>
            <w:r w:rsidRPr="00B800C3">
              <w:rPr>
                <w:rFonts w:ascii="Times New Roman" w:hAnsi="Times New Roman" w:cs="Times New Roman"/>
                <w:sz w:val="20"/>
                <w:szCs w:val="20"/>
              </w:rPr>
              <w:t xml:space="preserve"> noteiktajiem principiem</w:t>
            </w:r>
          </w:p>
        </w:tc>
        <w:tc>
          <w:tcPr>
            <w:tcW w:w="708" w:type="dxa"/>
            <w:gridSpan w:val="2"/>
          </w:tcPr>
          <w:p w:rsidR="006973C9" w:rsidRPr="003E13F6" w:rsidRDefault="006973C9" w:rsidP="000B0D9C">
            <w:pPr>
              <w:spacing w:before="120"/>
              <w:rPr>
                <w:rFonts w:ascii="Times New Roman" w:hAnsi="Times New Roman" w:cs="Times New Roman"/>
                <w:sz w:val="20"/>
                <w:szCs w:val="20"/>
              </w:rPr>
            </w:pPr>
          </w:p>
        </w:tc>
        <w:tc>
          <w:tcPr>
            <w:tcW w:w="709" w:type="dxa"/>
            <w:gridSpan w:val="2"/>
          </w:tcPr>
          <w:p w:rsidR="006973C9" w:rsidRPr="003E13F6" w:rsidRDefault="006973C9" w:rsidP="000B0D9C">
            <w:pPr>
              <w:spacing w:before="120"/>
              <w:rPr>
                <w:rFonts w:ascii="Times New Roman" w:hAnsi="Times New Roman" w:cs="Times New Roman"/>
                <w:sz w:val="20"/>
                <w:szCs w:val="20"/>
              </w:rPr>
            </w:pPr>
          </w:p>
        </w:tc>
        <w:tc>
          <w:tcPr>
            <w:tcW w:w="771" w:type="dxa"/>
            <w:gridSpan w:val="3"/>
          </w:tcPr>
          <w:p w:rsidR="006973C9" w:rsidRPr="003E13F6" w:rsidRDefault="006973C9" w:rsidP="000B0D9C">
            <w:pPr>
              <w:spacing w:before="120"/>
              <w:rPr>
                <w:rFonts w:ascii="Times New Roman" w:hAnsi="Times New Roman" w:cs="Times New Roman"/>
                <w:sz w:val="20"/>
                <w:szCs w:val="20"/>
              </w:rPr>
            </w:pPr>
          </w:p>
        </w:tc>
        <w:tc>
          <w:tcPr>
            <w:tcW w:w="5750" w:type="dxa"/>
          </w:tcPr>
          <w:p w:rsidR="006973C9" w:rsidRPr="003E13F6" w:rsidRDefault="006973C9" w:rsidP="000B0D9C">
            <w:pPr>
              <w:spacing w:before="120"/>
              <w:rPr>
                <w:rFonts w:ascii="Times New Roman" w:hAnsi="Times New Roman" w:cs="Times New Roman"/>
                <w:sz w:val="20"/>
                <w:szCs w:val="20"/>
              </w:rPr>
            </w:pPr>
          </w:p>
        </w:tc>
      </w:tr>
      <w:tr w:rsidR="006973C9" w:rsidRPr="003E13F6" w:rsidTr="00C8314F">
        <w:trPr>
          <w:cantSplit/>
        </w:trPr>
        <w:tc>
          <w:tcPr>
            <w:tcW w:w="959" w:type="dxa"/>
            <w:vMerge/>
          </w:tcPr>
          <w:p w:rsidR="006973C9" w:rsidRPr="006973C9" w:rsidRDefault="006973C9" w:rsidP="006973C9">
            <w:pPr>
              <w:spacing w:before="120"/>
              <w:ind w:left="360"/>
              <w:rPr>
                <w:rFonts w:ascii="Times New Roman" w:hAnsi="Times New Roman" w:cs="Times New Roman"/>
                <w:sz w:val="20"/>
                <w:szCs w:val="20"/>
              </w:rPr>
            </w:pPr>
          </w:p>
        </w:tc>
        <w:tc>
          <w:tcPr>
            <w:tcW w:w="4678" w:type="dxa"/>
            <w:gridSpan w:val="2"/>
          </w:tcPr>
          <w:p w:rsidR="006973C9" w:rsidRPr="003935DE" w:rsidRDefault="006973C9" w:rsidP="006973C9">
            <w:pPr>
              <w:spacing w:before="120" w:after="120"/>
              <w:jc w:val="both"/>
              <w:rPr>
                <w:rFonts w:ascii="Times New Roman" w:hAnsi="Times New Roman" w:cs="Times New Roman"/>
                <w:sz w:val="20"/>
                <w:szCs w:val="20"/>
              </w:rPr>
            </w:pPr>
            <w:r>
              <w:rPr>
                <w:rFonts w:ascii="Times New Roman" w:hAnsi="Times New Roman" w:cs="Times New Roman"/>
                <w:sz w:val="20"/>
                <w:szCs w:val="20"/>
              </w:rPr>
              <w:t>Pašizmaksas aprēķins ir matemātiski pareizs</w:t>
            </w:r>
            <w:r w:rsidR="00E547D7">
              <w:rPr>
                <w:rFonts w:ascii="Times New Roman" w:hAnsi="Times New Roman" w:cs="Times New Roman"/>
                <w:sz w:val="20"/>
                <w:szCs w:val="20"/>
              </w:rPr>
              <w:t xml:space="preserve"> (manuāli gatavotas atskaites gadījumā; automātiskas – N/A)</w:t>
            </w:r>
          </w:p>
        </w:tc>
        <w:tc>
          <w:tcPr>
            <w:tcW w:w="708" w:type="dxa"/>
            <w:gridSpan w:val="2"/>
          </w:tcPr>
          <w:p w:rsidR="006973C9" w:rsidRPr="003E13F6" w:rsidRDefault="006973C9" w:rsidP="000B0D9C">
            <w:pPr>
              <w:spacing w:before="120"/>
              <w:rPr>
                <w:rFonts w:ascii="Times New Roman" w:hAnsi="Times New Roman" w:cs="Times New Roman"/>
                <w:sz w:val="20"/>
                <w:szCs w:val="20"/>
              </w:rPr>
            </w:pPr>
          </w:p>
        </w:tc>
        <w:tc>
          <w:tcPr>
            <w:tcW w:w="709" w:type="dxa"/>
            <w:gridSpan w:val="2"/>
          </w:tcPr>
          <w:p w:rsidR="006973C9" w:rsidRPr="003E13F6" w:rsidRDefault="006973C9" w:rsidP="000B0D9C">
            <w:pPr>
              <w:spacing w:before="120"/>
              <w:rPr>
                <w:rFonts w:ascii="Times New Roman" w:hAnsi="Times New Roman" w:cs="Times New Roman"/>
                <w:sz w:val="20"/>
                <w:szCs w:val="20"/>
              </w:rPr>
            </w:pPr>
          </w:p>
        </w:tc>
        <w:tc>
          <w:tcPr>
            <w:tcW w:w="771" w:type="dxa"/>
            <w:gridSpan w:val="3"/>
          </w:tcPr>
          <w:p w:rsidR="006973C9" w:rsidRPr="003935DE" w:rsidRDefault="006973C9" w:rsidP="000B0D9C">
            <w:pPr>
              <w:spacing w:before="120"/>
              <w:rPr>
                <w:rFonts w:ascii="Times New Roman" w:hAnsi="Times New Roman" w:cs="Times New Roman"/>
                <w:color w:val="FF0000"/>
                <w:sz w:val="20"/>
                <w:szCs w:val="20"/>
              </w:rPr>
            </w:pPr>
          </w:p>
        </w:tc>
        <w:tc>
          <w:tcPr>
            <w:tcW w:w="5750" w:type="dxa"/>
          </w:tcPr>
          <w:p w:rsidR="006973C9" w:rsidRPr="003E13F6" w:rsidRDefault="006973C9" w:rsidP="000B0D9C">
            <w:pPr>
              <w:spacing w:before="120"/>
              <w:rPr>
                <w:rFonts w:ascii="Times New Roman" w:hAnsi="Times New Roman" w:cs="Times New Roman"/>
                <w:sz w:val="20"/>
                <w:szCs w:val="20"/>
              </w:rPr>
            </w:pPr>
          </w:p>
        </w:tc>
      </w:tr>
      <w:tr w:rsidR="00F511DE" w:rsidRPr="003C354B" w:rsidTr="00C8314F">
        <w:trPr>
          <w:cantSplit/>
        </w:trPr>
        <w:tc>
          <w:tcPr>
            <w:tcW w:w="959" w:type="dxa"/>
            <w:shd w:val="clear" w:color="auto" w:fill="00338D"/>
          </w:tcPr>
          <w:p w:rsidR="00F511DE" w:rsidRPr="003C354B" w:rsidRDefault="009D4806" w:rsidP="00F77E2C">
            <w:pPr>
              <w:pStyle w:val="ListParagraph"/>
              <w:numPr>
                <w:ilvl w:val="0"/>
                <w:numId w:val="3"/>
              </w:numPr>
              <w:spacing w:before="120" w:line="240" w:lineRule="auto"/>
              <w:rPr>
                <w:rFonts w:ascii="Times New Roman" w:hAnsi="Times New Roman" w:cs="Times New Roman"/>
                <w:b/>
                <w:sz w:val="28"/>
                <w:szCs w:val="28"/>
                <w:lang w:val="lv-LV"/>
              </w:rPr>
            </w:pPr>
            <w:r>
              <w:rPr>
                <w:lang w:val="lv-LV"/>
              </w:rPr>
              <w:br w:type="page"/>
            </w:r>
          </w:p>
        </w:tc>
        <w:tc>
          <w:tcPr>
            <w:tcW w:w="12616" w:type="dxa"/>
            <w:gridSpan w:val="10"/>
            <w:shd w:val="clear" w:color="auto" w:fill="00338D"/>
          </w:tcPr>
          <w:p w:rsidR="00F511DE" w:rsidRPr="003C354B" w:rsidRDefault="00F511DE" w:rsidP="00B92785">
            <w:pPr>
              <w:spacing w:before="160"/>
              <w:jc w:val="both"/>
              <w:rPr>
                <w:rFonts w:ascii="Times New Roman" w:hAnsi="Times New Roman" w:cs="Times New Roman"/>
                <w:b/>
                <w:sz w:val="28"/>
                <w:szCs w:val="28"/>
              </w:rPr>
            </w:pPr>
            <w:r w:rsidRPr="003C354B">
              <w:rPr>
                <w:rFonts w:ascii="Times New Roman" w:hAnsi="Times New Roman" w:cs="Times New Roman"/>
                <w:b/>
                <w:sz w:val="28"/>
                <w:szCs w:val="28"/>
              </w:rPr>
              <w:t>Ilgtermiņa aktīvi</w:t>
            </w:r>
            <w:r>
              <w:rPr>
                <w:rFonts w:ascii="Times New Roman" w:hAnsi="Times New Roman" w:cs="Times New Roman"/>
                <w:b/>
                <w:sz w:val="28"/>
                <w:szCs w:val="28"/>
              </w:rPr>
              <w:t xml:space="preserve"> </w:t>
            </w:r>
          </w:p>
        </w:tc>
      </w:tr>
      <w:tr w:rsidR="00F511DE" w:rsidRPr="003C354B" w:rsidTr="00C8314F">
        <w:trPr>
          <w:cantSplit/>
        </w:trPr>
        <w:tc>
          <w:tcPr>
            <w:tcW w:w="13575" w:type="dxa"/>
            <w:gridSpan w:val="11"/>
          </w:tcPr>
          <w:p w:rsidR="00F511DE" w:rsidRPr="003C354B" w:rsidRDefault="00F511DE" w:rsidP="00B92785">
            <w:pPr>
              <w:spacing w:before="120" w:after="120"/>
              <w:jc w:val="both"/>
              <w:rPr>
                <w:rFonts w:ascii="Times New Roman" w:hAnsi="Times New Roman" w:cs="Times New Roman"/>
                <w:b/>
                <w:sz w:val="24"/>
                <w:szCs w:val="24"/>
              </w:rPr>
            </w:pPr>
            <w:r w:rsidRPr="003C354B">
              <w:rPr>
                <w:rFonts w:ascii="Times New Roman" w:hAnsi="Times New Roman" w:cs="Times New Roman"/>
                <w:b/>
                <w:sz w:val="24"/>
                <w:szCs w:val="24"/>
              </w:rPr>
              <w:t>Ilgtermiņa aktīvu uzskaite</w:t>
            </w:r>
          </w:p>
        </w:tc>
      </w:tr>
      <w:tr w:rsidR="00627873" w:rsidRPr="003E13F6" w:rsidTr="00C8314F">
        <w:trPr>
          <w:cantSplit/>
        </w:trPr>
        <w:tc>
          <w:tcPr>
            <w:tcW w:w="959" w:type="dxa"/>
            <w:vMerge w:val="restart"/>
          </w:tcPr>
          <w:p w:rsidR="00627873" w:rsidRPr="003E13F6" w:rsidRDefault="00627873" w:rsidP="002B5951">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627873" w:rsidRPr="003E13F6" w:rsidRDefault="00627873" w:rsidP="003935DE">
            <w:pPr>
              <w:spacing w:before="120" w:after="120"/>
              <w:jc w:val="both"/>
              <w:rPr>
                <w:rFonts w:ascii="Times New Roman" w:hAnsi="Times New Roman" w:cs="Times New Roman"/>
                <w:sz w:val="20"/>
                <w:szCs w:val="20"/>
              </w:rPr>
            </w:pPr>
            <w:r>
              <w:rPr>
                <w:rFonts w:ascii="Times New Roman" w:hAnsi="Times New Roman" w:cs="Times New Roman"/>
                <w:sz w:val="20"/>
                <w:szCs w:val="20"/>
              </w:rPr>
              <w:t>Kā ilgtermiņa aktīvs uzskaitītais aktīvs atbilst ilgtermiņa aktīva definīcijai (nevis apgrozāmā līdzekļa vai izmaksu definīcijai)</w:t>
            </w:r>
          </w:p>
        </w:tc>
        <w:tc>
          <w:tcPr>
            <w:tcW w:w="708" w:type="dxa"/>
            <w:gridSpan w:val="2"/>
          </w:tcPr>
          <w:p w:rsidR="00627873" w:rsidRPr="003E13F6" w:rsidRDefault="00627873" w:rsidP="000B0D9C">
            <w:pPr>
              <w:spacing w:before="120"/>
              <w:rPr>
                <w:rFonts w:ascii="Times New Roman" w:hAnsi="Times New Roman" w:cs="Times New Roman"/>
                <w:sz w:val="20"/>
                <w:szCs w:val="20"/>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Default="00627873" w:rsidP="00EE76ED">
            <w:pPr>
              <w:spacing w:before="120"/>
              <w:rPr>
                <w:rFonts w:ascii="Times New Roman" w:hAnsi="Times New Roman" w:cs="Times New Roman"/>
                <w:sz w:val="20"/>
                <w:szCs w:val="20"/>
              </w:rPr>
            </w:pPr>
          </w:p>
        </w:tc>
        <w:tc>
          <w:tcPr>
            <w:tcW w:w="5750" w:type="dxa"/>
          </w:tcPr>
          <w:p w:rsidR="00627873" w:rsidRPr="003E13F6" w:rsidRDefault="00627873" w:rsidP="00DE0D46">
            <w:pPr>
              <w:spacing w:before="120"/>
              <w:rPr>
                <w:rFonts w:ascii="Times New Roman" w:hAnsi="Times New Roman" w:cs="Times New Roman"/>
                <w:sz w:val="20"/>
                <w:szCs w:val="20"/>
              </w:rPr>
            </w:pPr>
          </w:p>
        </w:tc>
      </w:tr>
      <w:tr w:rsidR="00627873" w:rsidRPr="003E13F6" w:rsidTr="00C8314F">
        <w:trPr>
          <w:cantSplit/>
        </w:trPr>
        <w:tc>
          <w:tcPr>
            <w:tcW w:w="959" w:type="dxa"/>
            <w:vMerge/>
          </w:tcPr>
          <w:p w:rsidR="00627873" w:rsidRPr="002F0DC7" w:rsidRDefault="00627873" w:rsidP="002F0DC7">
            <w:pPr>
              <w:spacing w:before="120"/>
              <w:ind w:left="360"/>
              <w:rPr>
                <w:rFonts w:ascii="Times New Roman" w:hAnsi="Times New Roman" w:cs="Times New Roman"/>
                <w:sz w:val="20"/>
                <w:szCs w:val="20"/>
              </w:rPr>
            </w:pPr>
          </w:p>
        </w:tc>
        <w:tc>
          <w:tcPr>
            <w:tcW w:w="4678" w:type="dxa"/>
            <w:gridSpan w:val="2"/>
          </w:tcPr>
          <w:p w:rsidR="00627873" w:rsidRDefault="00627873" w:rsidP="00B92785">
            <w:pPr>
              <w:spacing w:before="120" w:after="120"/>
              <w:jc w:val="both"/>
              <w:rPr>
                <w:rFonts w:ascii="Times New Roman" w:hAnsi="Times New Roman" w:cs="Times New Roman"/>
                <w:sz w:val="20"/>
                <w:szCs w:val="20"/>
              </w:rPr>
            </w:pPr>
            <w:r w:rsidRPr="00AE3169">
              <w:rPr>
                <w:rFonts w:ascii="Times New Roman" w:hAnsi="Times New Roman" w:cs="Times New Roman"/>
                <w:sz w:val="16"/>
                <w:szCs w:val="16"/>
              </w:rPr>
              <w:t>[</w:t>
            </w:r>
            <w:r>
              <w:rPr>
                <w:rFonts w:ascii="Times New Roman" w:hAnsi="Times New Roman" w:cs="Times New Roman"/>
                <w:sz w:val="16"/>
                <w:szCs w:val="16"/>
              </w:rPr>
              <w:t>A</w:t>
            </w:r>
            <w:r w:rsidRPr="00AE3169">
              <w:rPr>
                <w:rFonts w:ascii="Times New Roman" w:hAnsi="Times New Roman" w:cs="Times New Roman"/>
                <w:sz w:val="16"/>
                <w:szCs w:val="16"/>
              </w:rPr>
              <w:t>ttiecināms tikai uz valsts budžeta finansētajām iestādēm]</w:t>
            </w:r>
          </w:p>
          <w:p w:rsidR="00627873" w:rsidRPr="003E13F6" w:rsidRDefault="00627873" w:rsidP="00B92785">
            <w:pPr>
              <w:spacing w:before="120" w:after="120"/>
              <w:jc w:val="both"/>
              <w:rPr>
                <w:rFonts w:ascii="Times New Roman" w:hAnsi="Times New Roman" w:cs="Times New Roman"/>
                <w:sz w:val="20"/>
                <w:szCs w:val="20"/>
              </w:rPr>
            </w:pPr>
            <w:r>
              <w:rPr>
                <w:rFonts w:ascii="Times New Roman" w:hAnsi="Times New Roman" w:cs="Times New Roman"/>
                <w:sz w:val="20"/>
                <w:szCs w:val="20"/>
              </w:rPr>
              <w:t>Ilgtermiņa a</w:t>
            </w:r>
            <w:r w:rsidRPr="003E13F6">
              <w:rPr>
                <w:rFonts w:ascii="Times New Roman" w:hAnsi="Times New Roman" w:cs="Times New Roman"/>
                <w:sz w:val="20"/>
                <w:szCs w:val="20"/>
              </w:rPr>
              <w:t xml:space="preserve">ktīvam </w:t>
            </w:r>
            <w:r>
              <w:rPr>
                <w:rFonts w:ascii="Times New Roman" w:hAnsi="Times New Roman" w:cs="Times New Roman"/>
                <w:sz w:val="20"/>
                <w:szCs w:val="20"/>
              </w:rPr>
              <w:t xml:space="preserve">ir </w:t>
            </w:r>
            <w:r w:rsidRPr="003E13F6">
              <w:rPr>
                <w:rFonts w:ascii="Times New Roman" w:hAnsi="Times New Roman" w:cs="Times New Roman"/>
                <w:sz w:val="20"/>
                <w:szCs w:val="20"/>
              </w:rPr>
              <w:t xml:space="preserve">piešķirts atbilstošais ekonomikas klasifikācijas kods </w:t>
            </w:r>
          </w:p>
          <w:p w:rsidR="00627873" w:rsidRPr="0083464A" w:rsidRDefault="00627873" w:rsidP="00B92785">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 xml:space="preserve">(MK noteikumi Nr. 1031) </w:t>
            </w:r>
          </w:p>
        </w:tc>
        <w:tc>
          <w:tcPr>
            <w:tcW w:w="708" w:type="dxa"/>
            <w:gridSpan w:val="2"/>
          </w:tcPr>
          <w:p w:rsidR="00627873" w:rsidRPr="003E13F6" w:rsidRDefault="00627873" w:rsidP="000B0D9C">
            <w:pPr>
              <w:spacing w:before="120"/>
              <w:rPr>
                <w:rFonts w:ascii="Times New Roman" w:hAnsi="Times New Roman" w:cs="Times New Roman"/>
                <w:sz w:val="20"/>
                <w:szCs w:val="20"/>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Default="00627873" w:rsidP="000B0D9C">
            <w:pPr>
              <w:spacing w:before="120"/>
            </w:pPr>
          </w:p>
        </w:tc>
        <w:tc>
          <w:tcPr>
            <w:tcW w:w="5750" w:type="dxa"/>
          </w:tcPr>
          <w:p w:rsidR="00627873" w:rsidRPr="003E13F6" w:rsidRDefault="00627873" w:rsidP="000B0D9C">
            <w:pPr>
              <w:spacing w:before="120"/>
              <w:rPr>
                <w:rFonts w:ascii="Times New Roman" w:hAnsi="Times New Roman" w:cs="Times New Roman"/>
                <w:sz w:val="20"/>
                <w:szCs w:val="20"/>
              </w:rPr>
            </w:pPr>
          </w:p>
        </w:tc>
      </w:tr>
      <w:tr w:rsidR="00627873" w:rsidRPr="003E13F6" w:rsidTr="00C8314F">
        <w:trPr>
          <w:cantSplit/>
        </w:trPr>
        <w:tc>
          <w:tcPr>
            <w:tcW w:w="959" w:type="dxa"/>
            <w:vMerge/>
          </w:tcPr>
          <w:p w:rsidR="00627873" w:rsidRPr="00DC308E" w:rsidRDefault="00627873" w:rsidP="00DC308E">
            <w:pPr>
              <w:spacing w:before="120"/>
              <w:ind w:left="360"/>
              <w:rPr>
                <w:rFonts w:ascii="Times New Roman" w:hAnsi="Times New Roman" w:cs="Times New Roman"/>
                <w:sz w:val="20"/>
                <w:szCs w:val="20"/>
              </w:rPr>
            </w:pPr>
          </w:p>
        </w:tc>
        <w:tc>
          <w:tcPr>
            <w:tcW w:w="4678" w:type="dxa"/>
            <w:gridSpan w:val="2"/>
          </w:tcPr>
          <w:p w:rsidR="00627873" w:rsidRDefault="00627873" w:rsidP="00B92785">
            <w:pPr>
              <w:spacing w:before="120" w:after="120"/>
              <w:jc w:val="both"/>
              <w:rPr>
                <w:rFonts w:ascii="Times New Roman" w:hAnsi="Times New Roman" w:cs="Times New Roman"/>
                <w:sz w:val="20"/>
                <w:szCs w:val="20"/>
              </w:rPr>
            </w:pPr>
            <w:r>
              <w:rPr>
                <w:rFonts w:ascii="Times New Roman" w:hAnsi="Times New Roman" w:cs="Times New Roman"/>
                <w:sz w:val="20"/>
                <w:szCs w:val="20"/>
              </w:rPr>
              <w:t>Ilgtermiņa a</w:t>
            </w:r>
            <w:r w:rsidRPr="003E13F6">
              <w:rPr>
                <w:rFonts w:ascii="Times New Roman" w:hAnsi="Times New Roman" w:cs="Times New Roman"/>
                <w:sz w:val="20"/>
                <w:szCs w:val="20"/>
              </w:rPr>
              <w:t>ktīv</w:t>
            </w:r>
            <w:r>
              <w:rPr>
                <w:rFonts w:ascii="Times New Roman" w:hAnsi="Times New Roman" w:cs="Times New Roman"/>
                <w:sz w:val="20"/>
                <w:szCs w:val="20"/>
              </w:rPr>
              <w:t>iem</w:t>
            </w:r>
            <w:r w:rsidRPr="003E13F6">
              <w:rPr>
                <w:rFonts w:ascii="Times New Roman" w:hAnsi="Times New Roman" w:cs="Times New Roman"/>
                <w:sz w:val="20"/>
                <w:szCs w:val="20"/>
              </w:rPr>
              <w:t xml:space="preserve"> </w:t>
            </w:r>
            <w:r>
              <w:rPr>
                <w:rFonts w:ascii="Times New Roman" w:hAnsi="Times New Roman" w:cs="Times New Roman"/>
                <w:sz w:val="20"/>
                <w:szCs w:val="20"/>
              </w:rPr>
              <w:t xml:space="preserve">ir </w:t>
            </w:r>
            <w:r w:rsidRPr="003E13F6">
              <w:rPr>
                <w:rFonts w:ascii="Times New Roman" w:hAnsi="Times New Roman" w:cs="Times New Roman"/>
                <w:sz w:val="20"/>
                <w:szCs w:val="20"/>
              </w:rPr>
              <w:t>piešķirts atbilstošs grāmatvedības uzskaites ko</w:t>
            </w:r>
            <w:r>
              <w:rPr>
                <w:rFonts w:ascii="Times New Roman" w:hAnsi="Times New Roman" w:cs="Times New Roman"/>
                <w:sz w:val="20"/>
                <w:szCs w:val="20"/>
              </w:rPr>
              <w:t>nts, pēc kura</w:t>
            </w:r>
            <w:r w:rsidRPr="003E13F6">
              <w:rPr>
                <w:rFonts w:ascii="Times New Roman" w:hAnsi="Times New Roman" w:cs="Times New Roman"/>
                <w:sz w:val="20"/>
                <w:szCs w:val="20"/>
              </w:rPr>
              <w:t xml:space="preserve"> tie tiek grupēti un a</w:t>
            </w:r>
            <w:r w:rsidR="007D33C8">
              <w:rPr>
                <w:rFonts w:ascii="Times New Roman" w:hAnsi="Times New Roman" w:cs="Times New Roman"/>
                <w:sz w:val="20"/>
                <w:szCs w:val="20"/>
              </w:rPr>
              <w:t>t</w:t>
            </w:r>
            <w:r w:rsidRPr="003E13F6">
              <w:rPr>
                <w:rFonts w:ascii="Times New Roman" w:hAnsi="Times New Roman" w:cs="Times New Roman"/>
                <w:sz w:val="20"/>
                <w:szCs w:val="20"/>
              </w:rPr>
              <w:t>spoguļoti bilancē.</w:t>
            </w:r>
          </w:p>
          <w:p w:rsidR="00627873" w:rsidRPr="0083464A" w:rsidRDefault="00627873" w:rsidP="00721FD7">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(MK noteikumi Nr. 1486)</w:t>
            </w:r>
          </w:p>
        </w:tc>
        <w:tc>
          <w:tcPr>
            <w:tcW w:w="708" w:type="dxa"/>
            <w:gridSpan w:val="2"/>
          </w:tcPr>
          <w:p w:rsidR="00627873" w:rsidRPr="003E13F6" w:rsidRDefault="00627873" w:rsidP="000B0D9C">
            <w:pPr>
              <w:spacing w:before="120"/>
              <w:rPr>
                <w:rFonts w:ascii="Times New Roman" w:hAnsi="Times New Roman" w:cs="Times New Roman"/>
                <w:sz w:val="20"/>
                <w:szCs w:val="20"/>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Pr="00DC2A76" w:rsidRDefault="00627873" w:rsidP="000B0D9C">
            <w:pPr>
              <w:spacing w:before="120"/>
              <w:rPr>
                <w:rFonts w:ascii="Times New Roman" w:hAnsi="Times New Roman" w:cs="Times New Roman"/>
                <w:color w:val="FF0000"/>
                <w:sz w:val="20"/>
                <w:szCs w:val="20"/>
              </w:rPr>
            </w:pPr>
          </w:p>
        </w:tc>
        <w:tc>
          <w:tcPr>
            <w:tcW w:w="5750" w:type="dxa"/>
          </w:tcPr>
          <w:p w:rsidR="00627873" w:rsidRPr="00DC2A76" w:rsidRDefault="00627873" w:rsidP="000B0D9C">
            <w:pPr>
              <w:spacing w:before="120"/>
              <w:rPr>
                <w:rFonts w:ascii="Times New Roman" w:hAnsi="Times New Roman" w:cs="Times New Roman"/>
                <w:color w:val="FF0000"/>
                <w:sz w:val="20"/>
                <w:szCs w:val="20"/>
              </w:rPr>
            </w:pPr>
          </w:p>
        </w:tc>
      </w:tr>
      <w:tr w:rsidR="00627873" w:rsidRPr="003E13F6" w:rsidTr="00C8314F">
        <w:trPr>
          <w:cantSplit/>
        </w:trPr>
        <w:tc>
          <w:tcPr>
            <w:tcW w:w="959" w:type="dxa"/>
            <w:vMerge/>
          </w:tcPr>
          <w:p w:rsidR="00627873" w:rsidRPr="00DC308E" w:rsidRDefault="00627873" w:rsidP="00DC308E">
            <w:pPr>
              <w:spacing w:before="120"/>
              <w:ind w:left="360"/>
              <w:rPr>
                <w:rFonts w:ascii="Times New Roman" w:hAnsi="Times New Roman" w:cs="Times New Roman"/>
                <w:sz w:val="20"/>
                <w:szCs w:val="20"/>
              </w:rPr>
            </w:pPr>
          </w:p>
        </w:tc>
        <w:tc>
          <w:tcPr>
            <w:tcW w:w="4678" w:type="dxa"/>
            <w:gridSpan w:val="2"/>
          </w:tcPr>
          <w:p w:rsidR="00627873" w:rsidRDefault="00627873" w:rsidP="002C05A3">
            <w:pPr>
              <w:spacing w:before="120"/>
              <w:jc w:val="both"/>
              <w:rPr>
                <w:rFonts w:ascii="Times New Roman" w:hAnsi="Times New Roman" w:cs="Times New Roman"/>
                <w:sz w:val="20"/>
                <w:szCs w:val="20"/>
              </w:rPr>
            </w:pPr>
            <w:r w:rsidRPr="005B619B">
              <w:rPr>
                <w:rFonts w:ascii="Times New Roman" w:hAnsi="Times New Roman" w:cs="Times New Roman"/>
                <w:sz w:val="20"/>
                <w:szCs w:val="20"/>
              </w:rPr>
              <w:t>Aktīvu uzskaites sistēmā PO ieviesusi aktīva uzskaites dimensiju nodrošinot informāciju</w:t>
            </w:r>
            <w:r w:rsidRPr="003E13F6">
              <w:rPr>
                <w:rFonts w:ascii="Times New Roman" w:hAnsi="Times New Roman" w:cs="Times New Roman"/>
                <w:sz w:val="20"/>
                <w:szCs w:val="20"/>
              </w:rPr>
              <w:t xml:space="preserve"> </w:t>
            </w:r>
            <w:r>
              <w:rPr>
                <w:rFonts w:ascii="Times New Roman" w:hAnsi="Times New Roman" w:cs="Times New Roman"/>
                <w:sz w:val="20"/>
                <w:szCs w:val="20"/>
              </w:rPr>
              <w:t xml:space="preserve">par to </w:t>
            </w:r>
            <w:r w:rsidRPr="003E13F6">
              <w:rPr>
                <w:rFonts w:ascii="Times New Roman" w:hAnsi="Times New Roman" w:cs="Times New Roman"/>
                <w:sz w:val="20"/>
                <w:szCs w:val="20"/>
              </w:rPr>
              <w:t xml:space="preserve">vai </w:t>
            </w:r>
            <w:r>
              <w:rPr>
                <w:rFonts w:ascii="Times New Roman" w:hAnsi="Times New Roman" w:cs="Times New Roman"/>
                <w:sz w:val="20"/>
                <w:szCs w:val="20"/>
              </w:rPr>
              <w:t xml:space="preserve">aktīvs ir </w:t>
            </w:r>
            <w:r w:rsidRPr="003E13F6">
              <w:rPr>
                <w:rFonts w:ascii="Times New Roman" w:hAnsi="Times New Roman" w:cs="Times New Roman"/>
                <w:sz w:val="20"/>
                <w:szCs w:val="20"/>
              </w:rPr>
              <w:t>iegādāt</w:t>
            </w:r>
            <w:r>
              <w:rPr>
                <w:rFonts w:ascii="Times New Roman" w:hAnsi="Times New Roman" w:cs="Times New Roman"/>
                <w:sz w:val="20"/>
                <w:szCs w:val="20"/>
              </w:rPr>
              <w:t>s</w:t>
            </w:r>
            <w:r w:rsidRPr="003E13F6">
              <w:rPr>
                <w:rFonts w:ascii="Times New Roman" w:hAnsi="Times New Roman" w:cs="Times New Roman"/>
                <w:sz w:val="20"/>
                <w:szCs w:val="20"/>
              </w:rPr>
              <w:t xml:space="preserve"> PO</w:t>
            </w:r>
            <w:r>
              <w:rPr>
                <w:rFonts w:ascii="Times New Roman" w:hAnsi="Times New Roman" w:cs="Times New Roman"/>
                <w:sz w:val="20"/>
                <w:szCs w:val="20"/>
              </w:rPr>
              <w:t>:</w:t>
            </w:r>
            <w:r w:rsidRPr="003E13F6">
              <w:rPr>
                <w:rFonts w:ascii="Times New Roman" w:hAnsi="Times New Roman" w:cs="Times New Roman"/>
                <w:sz w:val="20"/>
                <w:szCs w:val="20"/>
              </w:rPr>
              <w:t xml:space="preserve"> </w:t>
            </w:r>
          </w:p>
          <w:p w:rsidR="00627873" w:rsidRPr="001A5E99" w:rsidRDefault="00627873" w:rsidP="002C05A3">
            <w:pPr>
              <w:pStyle w:val="ListParagraph"/>
              <w:numPr>
                <w:ilvl w:val="0"/>
                <w:numId w:val="10"/>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lang w:val="lv-LV"/>
              </w:rPr>
              <w:t>N</w:t>
            </w:r>
            <w:r w:rsidRPr="001A5E99">
              <w:rPr>
                <w:rFonts w:ascii="Times New Roman" w:hAnsi="Times New Roman" w:cs="Times New Roman"/>
                <w:sz w:val="20"/>
                <w:szCs w:val="20"/>
                <w:lang w:val="lv-LV"/>
              </w:rPr>
              <w:t>esaimniecisk</w:t>
            </w:r>
            <w:r>
              <w:rPr>
                <w:rFonts w:ascii="Times New Roman" w:hAnsi="Times New Roman" w:cs="Times New Roman"/>
                <w:sz w:val="20"/>
                <w:szCs w:val="20"/>
                <w:lang w:val="lv-LV"/>
              </w:rPr>
              <w:t>ajai</w:t>
            </w:r>
            <w:r w:rsidRPr="001A5E99">
              <w:rPr>
                <w:rFonts w:ascii="Times New Roman" w:hAnsi="Times New Roman" w:cs="Times New Roman"/>
                <w:sz w:val="20"/>
                <w:szCs w:val="20"/>
                <w:lang w:val="lv-LV"/>
              </w:rPr>
              <w:t xml:space="preserve"> pamatdarbība</w:t>
            </w:r>
            <w:r>
              <w:rPr>
                <w:rFonts w:ascii="Times New Roman" w:hAnsi="Times New Roman" w:cs="Times New Roman"/>
                <w:sz w:val="20"/>
                <w:szCs w:val="20"/>
                <w:lang w:val="lv-LV"/>
              </w:rPr>
              <w:t>i;</w:t>
            </w:r>
            <w:r w:rsidRPr="001A5E99">
              <w:rPr>
                <w:rFonts w:ascii="Times New Roman" w:hAnsi="Times New Roman" w:cs="Times New Roman"/>
                <w:sz w:val="20"/>
                <w:szCs w:val="20"/>
                <w:lang w:val="lv-LV"/>
              </w:rPr>
              <w:t xml:space="preserve"> </w:t>
            </w:r>
          </w:p>
          <w:p w:rsidR="00627873" w:rsidRPr="00E47240" w:rsidRDefault="00627873" w:rsidP="002C05A3">
            <w:pPr>
              <w:pStyle w:val="ListParagraph"/>
              <w:numPr>
                <w:ilvl w:val="0"/>
                <w:numId w:val="10"/>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lang w:val="lv-LV"/>
              </w:rPr>
              <w:t>S</w:t>
            </w:r>
            <w:r w:rsidRPr="001A5E99">
              <w:rPr>
                <w:rFonts w:ascii="Times New Roman" w:hAnsi="Times New Roman" w:cs="Times New Roman"/>
                <w:sz w:val="20"/>
                <w:szCs w:val="20"/>
                <w:lang w:val="lv-LV"/>
              </w:rPr>
              <w:t>aimnieciskajai pamatdarbībai</w:t>
            </w:r>
            <w:r>
              <w:rPr>
                <w:rFonts w:ascii="Times New Roman" w:hAnsi="Times New Roman" w:cs="Times New Roman"/>
                <w:sz w:val="20"/>
                <w:szCs w:val="20"/>
                <w:lang w:val="lv-LV"/>
              </w:rPr>
              <w:t>;</w:t>
            </w:r>
          </w:p>
          <w:p w:rsidR="00E47240" w:rsidRPr="00E47240" w:rsidRDefault="00E47240" w:rsidP="00E47240">
            <w:pPr>
              <w:pStyle w:val="ListParagraph"/>
              <w:numPr>
                <w:ilvl w:val="0"/>
                <w:numId w:val="10"/>
              </w:numPr>
              <w:rPr>
                <w:rFonts w:ascii="Times New Roman" w:hAnsi="Times New Roman" w:cs="Times New Roman"/>
                <w:sz w:val="20"/>
                <w:szCs w:val="20"/>
              </w:rPr>
            </w:pPr>
            <w:proofErr w:type="spellStart"/>
            <w:r>
              <w:rPr>
                <w:rFonts w:ascii="Times New Roman" w:hAnsi="Times New Roman" w:cs="Times New Roman"/>
                <w:sz w:val="20"/>
                <w:szCs w:val="20"/>
              </w:rPr>
              <w:t>Kombinētajai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pamatdarbībai</w:t>
            </w:r>
            <w:proofErr w:type="spellEnd"/>
            <w:r w:rsidRPr="00E47240">
              <w:rPr>
                <w:rFonts w:ascii="Times New Roman" w:hAnsi="Times New Roman" w:cs="Times New Roman"/>
                <w:sz w:val="20"/>
                <w:szCs w:val="20"/>
              </w:rPr>
              <w:t>;</w:t>
            </w:r>
          </w:p>
          <w:p w:rsidR="00627873" w:rsidRPr="00EB3AB1" w:rsidRDefault="00627873" w:rsidP="002C05A3">
            <w:pPr>
              <w:pStyle w:val="ListParagraph"/>
              <w:numPr>
                <w:ilvl w:val="0"/>
                <w:numId w:val="10"/>
              </w:numPr>
              <w:spacing w:after="120" w:line="240" w:lineRule="auto"/>
              <w:ind w:left="714" w:hanging="357"/>
              <w:jc w:val="both"/>
              <w:rPr>
                <w:rFonts w:ascii="Times New Roman" w:hAnsi="Times New Roman" w:cs="Times New Roman"/>
                <w:sz w:val="20"/>
                <w:szCs w:val="20"/>
              </w:rPr>
            </w:pPr>
            <w:r>
              <w:rPr>
                <w:rFonts w:ascii="Times New Roman" w:hAnsi="Times New Roman" w:cs="Times New Roman"/>
                <w:sz w:val="20"/>
                <w:szCs w:val="20"/>
                <w:lang w:val="lv-LV"/>
              </w:rPr>
              <w:t>P</w:t>
            </w:r>
            <w:r w:rsidRPr="001A5E99">
              <w:rPr>
                <w:rFonts w:ascii="Times New Roman" w:hAnsi="Times New Roman" w:cs="Times New Roman"/>
                <w:sz w:val="20"/>
                <w:szCs w:val="20"/>
                <w:lang w:val="lv-LV"/>
              </w:rPr>
              <w:t>ārējai</w:t>
            </w:r>
            <w:r w:rsidR="00E47240">
              <w:rPr>
                <w:rFonts w:ascii="Times New Roman" w:hAnsi="Times New Roman" w:cs="Times New Roman"/>
                <w:sz w:val="20"/>
                <w:szCs w:val="20"/>
                <w:lang w:val="lv-LV"/>
              </w:rPr>
              <w:t>/citai</w:t>
            </w:r>
            <w:r w:rsidRPr="001A5E99">
              <w:rPr>
                <w:rFonts w:ascii="Times New Roman" w:hAnsi="Times New Roman" w:cs="Times New Roman"/>
                <w:sz w:val="20"/>
                <w:szCs w:val="20"/>
                <w:lang w:val="lv-LV"/>
              </w:rPr>
              <w:t xml:space="preserve"> saimnieciskajai darbībai</w:t>
            </w:r>
            <w:r w:rsidR="00EB3AB1">
              <w:rPr>
                <w:rFonts w:ascii="Times New Roman" w:hAnsi="Times New Roman" w:cs="Times New Roman"/>
                <w:sz w:val="20"/>
                <w:szCs w:val="20"/>
                <w:lang w:val="lv-LV"/>
              </w:rPr>
              <w:t>.</w:t>
            </w:r>
          </w:p>
          <w:p w:rsidR="00627873" w:rsidRDefault="00627873" w:rsidP="002C05A3">
            <w:pPr>
              <w:spacing w:after="120"/>
              <w:jc w:val="both"/>
              <w:rPr>
                <w:rFonts w:ascii="Times New Roman" w:hAnsi="Times New Roman" w:cs="Times New Roman"/>
                <w:sz w:val="20"/>
                <w:szCs w:val="20"/>
              </w:rPr>
            </w:pPr>
            <w:r>
              <w:rPr>
                <w:rFonts w:ascii="Times New Roman" w:hAnsi="Times New Roman" w:cs="Times New Roman"/>
                <w:sz w:val="20"/>
                <w:szCs w:val="20"/>
              </w:rPr>
              <w:t>(</w:t>
            </w:r>
            <w:r w:rsidRPr="0031159B">
              <w:rPr>
                <w:rFonts w:ascii="Times New Roman" w:hAnsi="Times New Roman" w:cs="Times New Roman"/>
                <w:sz w:val="20"/>
                <w:szCs w:val="20"/>
              </w:rPr>
              <w:t>Nostādnes par valsts atbalstu pētniecībai, attīstībai un inovācijai (2006/C 323/01)</w:t>
            </w:r>
            <w:r>
              <w:rPr>
                <w:rFonts w:ascii="Times New Roman" w:hAnsi="Times New Roman" w:cs="Times New Roman"/>
                <w:sz w:val="20"/>
                <w:szCs w:val="20"/>
              </w:rPr>
              <w:t>, PO definīcija)</w:t>
            </w:r>
          </w:p>
          <w:p w:rsidR="00627873" w:rsidRPr="0083464A" w:rsidRDefault="00627873" w:rsidP="002C05A3">
            <w:pPr>
              <w:spacing w:after="120"/>
              <w:jc w:val="both"/>
              <w:rPr>
                <w:rFonts w:ascii="Times New Roman" w:hAnsi="Times New Roman" w:cs="Times New Roman"/>
                <w:sz w:val="18"/>
                <w:szCs w:val="18"/>
              </w:rPr>
            </w:pPr>
            <w:r w:rsidRPr="0083464A">
              <w:rPr>
                <w:rFonts w:ascii="Times New Roman" w:hAnsi="Times New Roman" w:cs="Times New Roman"/>
                <w:sz w:val="18"/>
                <w:szCs w:val="18"/>
              </w:rPr>
              <w:t>(Regula Nr. 1083/2006)</w:t>
            </w:r>
          </w:p>
        </w:tc>
        <w:tc>
          <w:tcPr>
            <w:tcW w:w="708" w:type="dxa"/>
            <w:gridSpan w:val="2"/>
          </w:tcPr>
          <w:p w:rsidR="00627873" w:rsidRPr="003E13F6" w:rsidRDefault="00627873" w:rsidP="000B0D9C">
            <w:pPr>
              <w:spacing w:before="120"/>
              <w:rPr>
                <w:rFonts w:ascii="Times New Roman" w:hAnsi="Times New Roman" w:cs="Times New Roman"/>
                <w:sz w:val="20"/>
                <w:szCs w:val="20"/>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Pr="003E13F6" w:rsidRDefault="00627873" w:rsidP="000B0D9C">
            <w:pPr>
              <w:spacing w:before="120"/>
              <w:rPr>
                <w:rFonts w:ascii="Times New Roman" w:hAnsi="Times New Roman" w:cs="Times New Roman"/>
                <w:sz w:val="20"/>
                <w:szCs w:val="20"/>
              </w:rPr>
            </w:pPr>
          </w:p>
        </w:tc>
        <w:tc>
          <w:tcPr>
            <w:tcW w:w="5750" w:type="dxa"/>
          </w:tcPr>
          <w:p w:rsidR="00627873" w:rsidRPr="003E13F6" w:rsidRDefault="00627873" w:rsidP="000B0D9C">
            <w:pPr>
              <w:spacing w:before="120"/>
              <w:rPr>
                <w:rFonts w:ascii="Times New Roman" w:hAnsi="Times New Roman" w:cs="Times New Roman"/>
                <w:sz w:val="20"/>
                <w:szCs w:val="20"/>
              </w:rPr>
            </w:pPr>
          </w:p>
        </w:tc>
      </w:tr>
      <w:tr w:rsidR="00627873" w:rsidRPr="003E13F6" w:rsidTr="00C8314F">
        <w:trPr>
          <w:cantSplit/>
        </w:trPr>
        <w:tc>
          <w:tcPr>
            <w:tcW w:w="959" w:type="dxa"/>
            <w:vMerge/>
          </w:tcPr>
          <w:p w:rsidR="00627873" w:rsidRPr="00DC308E" w:rsidRDefault="00627873" w:rsidP="00DC308E">
            <w:pPr>
              <w:spacing w:before="120"/>
              <w:ind w:left="360"/>
              <w:rPr>
                <w:rFonts w:ascii="Times New Roman" w:hAnsi="Times New Roman" w:cs="Times New Roman"/>
                <w:sz w:val="20"/>
                <w:szCs w:val="20"/>
              </w:rPr>
            </w:pPr>
          </w:p>
        </w:tc>
        <w:tc>
          <w:tcPr>
            <w:tcW w:w="4678" w:type="dxa"/>
            <w:gridSpan w:val="2"/>
          </w:tcPr>
          <w:p w:rsidR="00627873" w:rsidRPr="006154AC" w:rsidRDefault="00627873" w:rsidP="00577E99">
            <w:pPr>
              <w:spacing w:before="120"/>
              <w:jc w:val="both"/>
              <w:rPr>
                <w:rFonts w:ascii="Times New Roman" w:hAnsi="Times New Roman" w:cs="Times New Roman"/>
                <w:sz w:val="20"/>
                <w:szCs w:val="20"/>
              </w:rPr>
            </w:pPr>
            <w:r w:rsidRPr="003E13F6">
              <w:rPr>
                <w:rFonts w:ascii="Times New Roman" w:hAnsi="Times New Roman" w:cs="Times New Roman"/>
                <w:sz w:val="20"/>
                <w:szCs w:val="20"/>
              </w:rPr>
              <w:t xml:space="preserve">Ilgtermiņa aktīva objektiem, </w:t>
            </w:r>
            <w:r>
              <w:rPr>
                <w:rFonts w:ascii="Times New Roman" w:hAnsi="Times New Roman" w:cs="Times New Roman"/>
                <w:sz w:val="20"/>
                <w:szCs w:val="20"/>
              </w:rPr>
              <w:t>kas</w:t>
            </w:r>
            <w:r w:rsidRPr="003E13F6">
              <w:rPr>
                <w:rFonts w:ascii="Times New Roman" w:hAnsi="Times New Roman" w:cs="Times New Roman"/>
                <w:sz w:val="20"/>
                <w:szCs w:val="20"/>
              </w:rPr>
              <w:t xml:space="preserve"> iegādāti </w:t>
            </w:r>
            <w:r w:rsidR="00577E99" w:rsidRPr="00680628">
              <w:rPr>
                <w:rFonts w:ascii="Times New Roman" w:hAnsi="Times New Roman" w:cs="Times New Roman"/>
                <w:sz w:val="20"/>
                <w:szCs w:val="20"/>
                <w:u w:val="single"/>
              </w:rPr>
              <w:t>saimnieciskajai</w:t>
            </w:r>
            <w:r w:rsidR="00577E99" w:rsidRPr="00823951">
              <w:rPr>
                <w:rFonts w:ascii="Times New Roman" w:hAnsi="Times New Roman" w:cs="Times New Roman"/>
                <w:sz w:val="20"/>
                <w:szCs w:val="20"/>
              </w:rPr>
              <w:t xml:space="preserve"> </w:t>
            </w:r>
            <w:r w:rsidR="00577E99">
              <w:rPr>
                <w:rFonts w:ascii="Times New Roman" w:hAnsi="Times New Roman" w:cs="Times New Roman"/>
                <w:sz w:val="20"/>
                <w:szCs w:val="20"/>
              </w:rPr>
              <w:t xml:space="preserve">vai </w:t>
            </w:r>
            <w:r w:rsidR="00577E99" w:rsidRPr="00680628">
              <w:rPr>
                <w:rFonts w:ascii="Times New Roman" w:hAnsi="Times New Roman" w:cs="Times New Roman"/>
                <w:sz w:val="20"/>
                <w:szCs w:val="20"/>
                <w:u w:val="single"/>
              </w:rPr>
              <w:t>nesaimnieciskajai</w:t>
            </w:r>
            <w:r w:rsidR="00577E99" w:rsidRPr="00E5445F">
              <w:rPr>
                <w:rFonts w:ascii="Times New Roman" w:hAnsi="Times New Roman" w:cs="Times New Roman"/>
                <w:sz w:val="20"/>
                <w:szCs w:val="20"/>
              </w:rPr>
              <w:t xml:space="preserve"> </w:t>
            </w:r>
            <w:r w:rsidR="00577E99" w:rsidRPr="00823951">
              <w:rPr>
                <w:rFonts w:ascii="Times New Roman" w:hAnsi="Times New Roman" w:cs="Times New Roman"/>
                <w:sz w:val="20"/>
                <w:szCs w:val="20"/>
              </w:rPr>
              <w:t>pamatdarbībai</w:t>
            </w:r>
            <w:r w:rsidR="00577E99">
              <w:rPr>
                <w:rFonts w:ascii="Times New Roman" w:hAnsi="Times New Roman" w:cs="Times New Roman"/>
                <w:sz w:val="20"/>
                <w:szCs w:val="20"/>
              </w:rPr>
              <w:t>,</w:t>
            </w:r>
            <w:r w:rsidR="00577E99" w:rsidRPr="003E13F6">
              <w:rPr>
                <w:rFonts w:ascii="Times New Roman" w:hAnsi="Times New Roman" w:cs="Times New Roman"/>
                <w:sz w:val="20"/>
                <w:szCs w:val="20"/>
              </w:rPr>
              <w:t xml:space="preserve"> </w:t>
            </w:r>
            <w:r w:rsidR="00577E99" w:rsidRPr="00577E99">
              <w:rPr>
                <w:rFonts w:ascii="Times New Roman" w:hAnsi="Times New Roman" w:cs="Times New Roman"/>
                <w:sz w:val="20"/>
                <w:szCs w:val="20"/>
              </w:rPr>
              <w:t>pārējai saimnieciskai</w:t>
            </w:r>
            <w:r w:rsidR="00577E99" w:rsidRPr="003E13F6">
              <w:rPr>
                <w:rFonts w:ascii="Times New Roman" w:hAnsi="Times New Roman" w:cs="Times New Roman"/>
                <w:sz w:val="20"/>
                <w:szCs w:val="20"/>
              </w:rPr>
              <w:t xml:space="preserve"> </w:t>
            </w:r>
            <w:r w:rsidRPr="00E5445F">
              <w:rPr>
                <w:rFonts w:ascii="Times New Roman" w:hAnsi="Times New Roman" w:cs="Times New Roman"/>
                <w:sz w:val="20"/>
                <w:szCs w:val="20"/>
              </w:rPr>
              <w:t>darbībai</w:t>
            </w:r>
            <w:r w:rsidRPr="003E13F6">
              <w:rPr>
                <w:rFonts w:ascii="Times New Roman" w:hAnsi="Times New Roman" w:cs="Times New Roman"/>
                <w:sz w:val="20"/>
                <w:szCs w:val="20"/>
              </w:rPr>
              <w:t xml:space="preserve"> </w:t>
            </w:r>
            <w:r w:rsidR="00577E99">
              <w:rPr>
                <w:rFonts w:ascii="Times New Roman" w:hAnsi="Times New Roman" w:cs="Times New Roman"/>
                <w:sz w:val="20"/>
                <w:szCs w:val="20"/>
              </w:rPr>
              <w:t xml:space="preserve">vai kombinētiem projektiem, </w:t>
            </w:r>
            <w:r w:rsidRPr="003E13F6">
              <w:rPr>
                <w:rFonts w:ascii="Times New Roman" w:hAnsi="Times New Roman" w:cs="Times New Roman"/>
                <w:sz w:val="20"/>
                <w:szCs w:val="20"/>
              </w:rPr>
              <w:t xml:space="preserve">un </w:t>
            </w:r>
            <w:r w:rsidR="00577E99" w:rsidRPr="003E13F6">
              <w:rPr>
                <w:rFonts w:ascii="Times New Roman" w:hAnsi="Times New Roman" w:cs="Times New Roman"/>
                <w:sz w:val="20"/>
                <w:szCs w:val="20"/>
              </w:rPr>
              <w:t>t</w:t>
            </w:r>
            <w:r w:rsidR="00577E99">
              <w:rPr>
                <w:rFonts w:ascii="Times New Roman" w:hAnsi="Times New Roman" w:cs="Times New Roman"/>
                <w:sz w:val="20"/>
                <w:szCs w:val="20"/>
              </w:rPr>
              <w:t>o</w:t>
            </w:r>
            <w:r w:rsidR="00577E99" w:rsidRPr="003E13F6">
              <w:rPr>
                <w:rFonts w:ascii="Times New Roman" w:hAnsi="Times New Roman" w:cs="Times New Roman"/>
                <w:sz w:val="20"/>
                <w:szCs w:val="20"/>
              </w:rPr>
              <w:t xml:space="preserve"> iegādes finansēšanā PO izmantojusi subsīdiju, dotāciju, dāvinājumu </w:t>
            </w:r>
            <w:r w:rsidR="00577E99">
              <w:rPr>
                <w:rFonts w:ascii="Times New Roman" w:hAnsi="Times New Roman" w:cs="Times New Roman"/>
                <w:sz w:val="20"/>
                <w:szCs w:val="20"/>
              </w:rPr>
              <w:t>vai Fondu finansējumu</w:t>
            </w:r>
            <w:r w:rsidR="00577E99" w:rsidRPr="003E13F6">
              <w:rPr>
                <w:rFonts w:ascii="Times New Roman" w:hAnsi="Times New Roman" w:cs="Times New Roman"/>
                <w:sz w:val="20"/>
                <w:szCs w:val="20"/>
              </w:rPr>
              <w:t xml:space="preserve">, ilgtermiņa aktīvu kartiņā ir izdarīti </w:t>
            </w:r>
            <w:r w:rsidR="00577E99">
              <w:rPr>
                <w:rFonts w:ascii="Times New Roman" w:hAnsi="Times New Roman" w:cs="Times New Roman"/>
                <w:sz w:val="20"/>
                <w:szCs w:val="20"/>
              </w:rPr>
              <w:t>sekojoši</w:t>
            </w:r>
            <w:r w:rsidR="00577E99" w:rsidRPr="003E13F6">
              <w:rPr>
                <w:rFonts w:ascii="Times New Roman" w:hAnsi="Times New Roman" w:cs="Times New Roman"/>
                <w:sz w:val="20"/>
                <w:szCs w:val="20"/>
              </w:rPr>
              <w:t xml:space="preserve"> ieraksti:</w:t>
            </w:r>
          </w:p>
        </w:tc>
        <w:tc>
          <w:tcPr>
            <w:tcW w:w="708" w:type="dxa"/>
            <w:gridSpan w:val="2"/>
          </w:tcPr>
          <w:p w:rsidR="00627873" w:rsidRPr="003E13F6" w:rsidRDefault="00627873" w:rsidP="000B0D9C">
            <w:pPr>
              <w:spacing w:before="120"/>
              <w:rPr>
                <w:rFonts w:ascii="Times New Roman" w:hAnsi="Times New Roman" w:cs="Times New Roman"/>
                <w:sz w:val="20"/>
                <w:szCs w:val="20"/>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Pr="003E13F6" w:rsidRDefault="00627873" w:rsidP="000B0D9C">
            <w:pPr>
              <w:spacing w:before="120"/>
              <w:rPr>
                <w:rFonts w:ascii="Times New Roman" w:hAnsi="Times New Roman" w:cs="Times New Roman"/>
                <w:sz w:val="20"/>
                <w:szCs w:val="20"/>
              </w:rPr>
            </w:pPr>
          </w:p>
        </w:tc>
        <w:tc>
          <w:tcPr>
            <w:tcW w:w="5750" w:type="dxa"/>
          </w:tcPr>
          <w:p w:rsidR="00627873" w:rsidRPr="003E13F6" w:rsidRDefault="00627873" w:rsidP="000B0D9C">
            <w:pPr>
              <w:spacing w:before="120"/>
              <w:rPr>
                <w:rFonts w:ascii="Times New Roman" w:hAnsi="Times New Roman" w:cs="Times New Roman"/>
                <w:sz w:val="20"/>
                <w:szCs w:val="20"/>
              </w:rPr>
            </w:pPr>
          </w:p>
        </w:tc>
      </w:tr>
      <w:tr w:rsidR="00627873" w:rsidRPr="003E13F6" w:rsidTr="00C8314F">
        <w:trPr>
          <w:cantSplit/>
        </w:trPr>
        <w:tc>
          <w:tcPr>
            <w:tcW w:w="959" w:type="dxa"/>
            <w:vMerge/>
          </w:tcPr>
          <w:p w:rsidR="00627873" w:rsidRPr="00DC308E" w:rsidRDefault="00627873" w:rsidP="00DC308E">
            <w:pPr>
              <w:spacing w:before="120"/>
              <w:ind w:left="360"/>
              <w:rPr>
                <w:rFonts w:ascii="Times New Roman" w:hAnsi="Times New Roman" w:cs="Times New Roman"/>
                <w:sz w:val="20"/>
                <w:szCs w:val="20"/>
              </w:rPr>
            </w:pPr>
          </w:p>
        </w:tc>
        <w:tc>
          <w:tcPr>
            <w:tcW w:w="4678" w:type="dxa"/>
            <w:gridSpan w:val="2"/>
          </w:tcPr>
          <w:p w:rsidR="00627873" w:rsidRPr="003E13F6" w:rsidRDefault="00627873" w:rsidP="002C05A3">
            <w:pPr>
              <w:pStyle w:val="ListParagraph"/>
              <w:numPr>
                <w:ilvl w:val="0"/>
                <w:numId w:val="5"/>
              </w:numPr>
              <w:spacing w:before="120" w:after="120" w:line="240" w:lineRule="auto"/>
              <w:ind w:left="357" w:hanging="357"/>
              <w:jc w:val="both"/>
              <w:rPr>
                <w:rFonts w:ascii="Times New Roman" w:hAnsi="Times New Roman" w:cs="Times New Roman"/>
                <w:sz w:val="20"/>
                <w:szCs w:val="20"/>
              </w:rPr>
            </w:pPr>
            <w:r w:rsidRPr="003E13F6">
              <w:rPr>
                <w:rFonts w:ascii="Times New Roman" w:hAnsi="Times New Roman" w:cs="Times New Roman"/>
                <w:sz w:val="20"/>
                <w:szCs w:val="20"/>
                <w:lang w:val="lv-LV"/>
              </w:rPr>
              <w:t>Finansējuma projekta identifikācijas dati (grants</w:t>
            </w:r>
            <w:r w:rsidR="00CC0B26">
              <w:rPr>
                <w:rFonts w:ascii="Times New Roman" w:hAnsi="Times New Roman" w:cs="Times New Roman"/>
                <w:sz w:val="20"/>
                <w:szCs w:val="20"/>
                <w:lang w:val="lv-LV"/>
              </w:rPr>
              <w:t>, ERAF, ESF</w:t>
            </w:r>
            <w:r w:rsidRPr="003E13F6">
              <w:rPr>
                <w:rFonts w:ascii="Times New Roman" w:hAnsi="Times New Roman" w:cs="Times New Roman"/>
                <w:sz w:val="20"/>
                <w:szCs w:val="20"/>
                <w:lang w:val="lv-LV"/>
              </w:rPr>
              <w:t>);</w:t>
            </w:r>
          </w:p>
        </w:tc>
        <w:tc>
          <w:tcPr>
            <w:tcW w:w="708" w:type="dxa"/>
            <w:gridSpan w:val="2"/>
          </w:tcPr>
          <w:p w:rsidR="00627873" w:rsidRPr="00CC0B26" w:rsidRDefault="00627873" w:rsidP="000B0D9C">
            <w:pPr>
              <w:spacing w:before="120"/>
              <w:rPr>
                <w:rFonts w:ascii="Times New Roman" w:hAnsi="Times New Roman" w:cs="Times New Roman"/>
                <w:sz w:val="20"/>
                <w:szCs w:val="20"/>
                <w:lang w:val="en-US"/>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Pr="003E13F6" w:rsidRDefault="00627873" w:rsidP="000B0D9C">
            <w:pPr>
              <w:spacing w:before="120"/>
              <w:rPr>
                <w:rFonts w:ascii="Times New Roman" w:hAnsi="Times New Roman" w:cs="Times New Roman"/>
                <w:sz w:val="20"/>
                <w:szCs w:val="20"/>
              </w:rPr>
            </w:pPr>
          </w:p>
        </w:tc>
        <w:tc>
          <w:tcPr>
            <w:tcW w:w="5750" w:type="dxa"/>
          </w:tcPr>
          <w:p w:rsidR="00627873" w:rsidRPr="003E13F6" w:rsidRDefault="00627873" w:rsidP="000B0D9C">
            <w:pPr>
              <w:spacing w:before="120"/>
              <w:rPr>
                <w:rFonts w:ascii="Times New Roman" w:hAnsi="Times New Roman" w:cs="Times New Roman"/>
                <w:sz w:val="20"/>
                <w:szCs w:val="20"/>
              </w:rPr>
            </w:pPr>
          </w:p>
        </w:tc>
      </w:tr>
      <w:tr w:rsidR="00627873" w:rsidRPr="003E13F6" w:rsidTr="00C8314F">
        <w:trPr>
          <w:cantSplit/>
        </w:trPr>
        <w:tc>
          <w:tcPr>
            <w:tcW w:w="959" w:type="dxa"/>
            <w:vMerge/>
          </w:tcPr>
          <w:p w:rsidR="00627873" w:rsidRPr="00DC308E" w:rsidRDefault="00627873" w:rsidP="00DC308E">
            <w:pPr>
              <w:spacing w:before="120"/>
              <w:ind w:left="360"/>
              <w:rPr>
                <w:rFonts w:ascii="Times New Roman" w:hAnsi="Times New Roman" w:cs="Times New Roman"/>
                <w:sz w:val="20"/>
                <w:szCs w:val="20"/>
              </w:rPr>
            </w:pPr>
          </w:p>
        </w:tc>
        <w:tc>
          <w:tcPr>
            <w:tcW w:w="4678" w:type="dxa"/>
            <w:gridSpan w:val="2"/>
          </w:tcPr>
          <w:p w:rsidR="00627873" w:rsidRPr="006154AC" w:rsidRDefault="00627873" w:rsidP="00412FF0">
            <w:pPr>
              <w:pStyle w:val="ListParagraph"/>
              <w:numPr>
                <w:ilvl w:val="0"/>
                <w:numId w:val="5"/>
              </w:numPr>
              <w:spacing w:before="120" w:after="120" w:line="240" w:lineRule="auto"/>
              <w:ind w:left="357" w:hanging="357"/>
              <w:jc w:val="both"/>
              <w:rPr>
                <w:rFonts w:ascii="Times New Roman" w:hAnsi="Times New Roman" w:cs="Times New Roman"/>
                <w:sz w:val="20"/>
                <w:szCs w:val="20"/>
                <w:lang w:val="lv-LV"/>
              </w:rPr>
            </w:pPr>
            <w:r w:rsidRPr="003E13F6">
              <w:rPr>
                <w:rFonts w:ascii="Times New Roman" w:hAnsi="Times New Roman" w:cs="Times New Roman"/>
                <w:sz w:val="20"/>
                <w:szCs w:val="20"/>
                <w:lang w:val="lv-LV"/>
              </w:rPr>
              <w:t xml:space="preserve">Finansējuma procentuālais īpatsvars </w:t>
            </w:r>
            <w:r>
              <w:rPr>
                <w:rFonts w:ascii="Times New Roman" w:hAnsi="Times New Roman" w:cs="Times New Roman"/>
                <w:sz w:val="20"/>
                <w:szCs w:val="20"/>
                <w:lang w:val="lv-LV"/>
              </w:rPr>
              <w:t>(cik liela aktīva iegādes vērtība ir finansēta izmantojot Fondu finansējumu)</w:t>
            </w:r>
            <w:r w:rsidRPr="003E13F6">
              <w:rPr>
                <w:rFonts w:ascii="Times New Roman" w:hAnsi="Times New Roman" w:cs="Times New Roman"/>
                <w:sz w:val="20"/>
                <w:szCs w:val="20"/>
                <w:lang w:val="lv-LV"/>
              </w:rPr>
              <w:t xml:space="preserve">; </w:t>
            </w:r>
          </w:p>
        </w:tc>
        <w:tc>
          <w:tcPr>
            <w:tcW w:w="708" w:type="dxa"/>
            <w:gridSpan w:val="2"/>
          </w:tcPr>
          <w:p w:rsidR="00627873" w:rsidRPr="003E13F6" w:rsidRDefault="00627873" w:rsidP="000B0D9C">
            <w:pPr>
              <w:spacing w:before="120"/>
              <w:rPr>
                <w:rFonts w:ascii="Times New Roman" w:hAnsi="Times New Roman" w:cs="Times New Roman"/>
                <w:sz w:val="20"/>
                <w:szCs w:val="20"/>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Pr="003E13F6" w:rsidRDefault="00627873" w:rsidP="000B0D9C">
            <w:pPr>
              <w:spacing w:before="120"/>
              <w:rPr>
                <w:rFonts w:ascii="Times New Roman" w:hAnsi="Times New Roman" w:cs="Times New Roman"/>
                <w:sz w:val="20"/>
                <w:szCs w:val="20"/>
              </w:rPr>
            </w:pPr>
          </w:p>
        </w:tc>
        <w:tc>
          <w:tcPr>
            <w:tcW w:w="5750" w:type="dxa"/>
          </w:tcPr>
          <w:p w:rsidR="00627873" w:rsidRPr="003E13F6" w:rsidRDefault="00627873" w:rsidP="000B0D9C">
            <w:pPr>
              <w:spacing w:before="120"/>
              <w:rPr>
                <w:rFonts w:ascii="Times New Roman" w:hAnsi="Times New Roman" w:cs="Times New Roman"/>
                <w:sz w:val="20"/>
                <w:szCs w:val="20"/>
              </w:rPr>
            </w:pPr>
          </w:p>
        </w:tc>
      </w:tr>
      <w:tr w:rsidR="00627873" w:rsidRPr="003E13F6" w:rsidTr="00C8314F">
        <w:trPr>
          <w:cantSplit/>
        </w:trPr>
        <w:tc>
          <w:tcPr>
            <w:tcW w:w="959" w:type="dxa"/>
            <w:vMerge/>
          </w:tcPr>
          <w:p w:rsidR="00627873" w:rsidRPr="00DC308E" w:rsidRDefault="00627873" w:rsidP="00DC308E">
            <w:pPr>
              <w:spacing w:before="120"/>
              <w:ind w:left="360"/>
              <w:rPr>
                <w:rFonts w:ascii="Times New Roman" w:hAnsi="Times New Roman" w:cs="Times New Roman"/>
                <w:sz w:val="20"/>
                <w:szCs w:val="20"/>
              </w:rPr>
            </w:pPr>
          </w:p>
        </w:tc>
        <w:tc>
          <w:tcPr>
            <w:tcW w:w="4678" w:type="dxa"/>
            <w:gridSpan w:val="2"/>
          </w:tcPr>
          <w:p w:rsidR="00627873" w:rsidRPr="006154AC" w:rsidRDefault="00627873" w:rsidP="002C05A3">
            <w:pPr>
              <w:pStyle w:val="ListParagraph"/>
              <w:numPr>
                <w:ilvl w:val="0"/>
                <w:numId w:val="5"/>
              </w:numPr>
              <w:spacing w:before="120" w:after="120" w:line="240" w:lineRule="auto"/>
              <w:ind w:left="357" w:hanging="357"/>
              <w:jc w:val="both"/>
              <w:rPr>
                <w:rFonts w:ascii="Times New Roman" w:hAnsi="Times New Roman" w:cs="Times New Roman"/>
                <w:sz w:val="20"/>
                <w:szCs w:val="20"/>
                <w:lang w:val="lv-LV"/>
              </w:rPr>
            </w:pPr>
            <w:r>
              <w:rPr>
                <w:rFonts w:ascii="Times New Roman" w:hAnsi="Times New Roman" w:cs="Times New Roman"/>
                <w:sz w:val="20"/>
                <w:szCs w:val="20"/>
                <w:lang w:val="lv-LV"/>
              </w:rPr>
              <w:t>Piezīme par to</w:t>
            </w:r>
            <w:r w:rsidRPr="003E13F6">
              <w:rPr>
                <w:rFonts w:ascii="Times New Roman" w:hAnsi="Times New Roman" w:cs="Times New Roman"/>
                <w:sz w:val="20"/>
                <w:szCs w:val="20"/>
                <w:lang w:val="lv-LV"/>
              </w:rPr>
              <w:t xml:space="preserve"> vai ERAF vai Kohēzijas fonda projektā bija paredzēti ieņēmumi (norādot apjomu, par kādu tika samazināts finansējuma apjoms)</w:t>
            </w:r>
            <w:r>
              <w:rPr>
                <w:rFonts w:ascii="Times New Roman" w:hAnsi="Times New Roman" w:cs="Times New Roman"/>
                <w:sz w:val="20"/>
                <w:szCs w:val="20"/>
                <w:lang w:val="lv-LV"/>
              </w:rPr>
              <w:t>;</w:t>
            </w:r>
          </w:p>
        </w:tc>
        <w:tc>
          <w:tcPr>
            <w:tcW w:w="708" w:type="dxa"/>
            <w:gridSpan w:val="2"/>
          </w:tcPr>
          <w:p w:rsidR="00627873" w:rsidRPr="003E13F6" w:rsidRDefault="00627873" w:rsidP="000B0D9C">
            <w:pPr>
              <w:spacing w:before="120"/>
              <w:rPr>
                <w:rFonts w:ascii="Times New Roman" w:hAnsi="Times New Roman" w:cs="Times New Roman"/>
                <w:sz w:val="20"/>
                <w:szCs w:val="20"/>
              </w:rPr>
            </w:pPr>
          </w:p>
        </w:tc>
        <w:tc>
          <w:tcPr>
            <w:tcW w:w="709" w:type="dxa"/>
            <w:gridSpan w:val="2"/>
          </w:tcPr>
          <w:p w:rsidR="00627873" w:rsidRPr="003E13F6" w:rsidRDefault="00627873" w:rsidP="000B0D9C">
            <w:pPr>
              <w:spacing w:before="120"/>
              <w:rPr>
                <w:rFonts w:ascii="Times New Roman" w:hAnsi="Times New Roman" w:cs="Times New Roman"/>
                <w:sz w:val="20"/>
                <w:szCs w:val="20"/>
              </w:rPr>
            </w:pPr>
          </w:p>
        </w:tc>
        <w:tc>
          <w:tcPr>
            <w:tcW w:w="771" w:type="dxa"/>
            <w:gridSpan w:val="3"/>
          </w:tcPr>
          <w:p w:rsidR="00627873" w:rsidRPr="003E13F6" w:rsidRDefault="00627873" w:rsidP="000B0D9C">
            <w:pPr>
              <w:spacing w:before="120"/>
              <w:rPr>
                <w:rFonts w:ascii="Times New Roman" w:hAnsi="Times New Roman" w:cs="Times New Roman"/>
                <w:sz w:val="20"/>
                <w:szCs w:val="20"/>
              </w:rPr>
            </w:pPr>
          </w:p>
        </w:tc>
        <w:tc>
          <w:tcPr>
            <w:tcW w:w="5750" w:type="dxa"/>
          </w:tcPr>
          <w:p w:rsidR="00627873" w:rsidRPr="003E13F6" w:rsidRDefault="00627873" w:rsidP="000B0D9C">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DC308E" w:rsidRDefault="00D545B5" w:rsidP="00DC308E">
            <w:pPr>
              <w:spacing w:before="120"/>
              <w:ind w:left="360"/>
              <w:rPr>
                <w:rFonts w:ascii="Times New Roman" w:hAnsi="Times New Roman" w:cs="Times New Roman"/>
                <w:sz w:val="20"/>
                <w:szCs w:val="20"/>
              </w:rPr>
            </w:pPr>
          </w:p>
        </w:tc>
        <w:tc>
          <w:tcPr>
            <w:tcW w:w="4678" w:type="dxa"/>
            <w:gridSpan w:val="2"/>
          </w:tcPr>
          <w:p w:rsidR="00D545B5" w:rsidRDefault="00D545B5" w:rsidP="00956BC5">
            <w:pPr>
              <w:pStyle w:val="ListParagraph"/>
              <w:numPr>
                <w:ilvl w:val="0"/>
                <w:numId w:val="5"/>
              </w:numPr>
              <w:spacing w:before="120" w:after="120" w:line="240" w:lineRule="auto"/>
              <w:ind w:left="357" w:hanging="357"/>
              <w:jc w:val="both"/>
              <w:rPr>
                <w:rFonts w:ascii="Times New Roman" w:hAnsi="Times New Roman" w:cs="Times New Roman"/>
                <w:sz w:val="20"/>
                <w:szCs w:val="20"/>
                <w:lang w:val="lv-LV"/>
              </w:rPr>
            </w:pPr>
            <w:r w:rsidRPr="003E13F6">
              <w:rPr>
                <w:rFonts w:ascii="Times New Roman" w:hAnsi="Times New Roman" w:cs="Times New Roman"/>
                <w:sz w:val="20"/>
                <w:szCs w:val="20"/>
                <w:lang w:val="lv-LV"/>
              </w:rPr>
              <w:t>Īpaša piezīme, ja ieņēmumi nebija paredzēti</w:t>
            </w:r>
            <w:r>
              <w:rPr>
                <w:rFonts w:ascii="Times New Roman" w:hAnsi="Times New Roman" w:cs="Times New Roman"/>
                <w:sz w:val="20"/>
                <w:szCs w:val="20"/>
                <w:lang w:val="lv-LV"/>
              </w:rPr>
              <w:t>.</w:t>
            </w:r>
          </w:p>
          <w:p w:rsidR="00D545B5" w:rsidRDefault="00D545B5" w:rsidP="00956BC5">
            <w:pPr>
              <w:spacing w:before="120" w:after="120"/>
              <w:jc w:val="both"/>
              <w:rPr>
                <w:rFonts w:ascii="Times New Roman" w:hAnsi="Times New Roman" w:cs="Times New Roman"/>
                <w:sz w:val="18"/>
                <w:szCs w:val="18"/>
              </w:rPr>
            </w:pPr>
            <w:r w:rsidRPr="007E221F">
              <w:rPr>
                <w:rFonts w:ascii="Times New Roman" w:hAnsi="Times New Roman" w:cs="Times New Roman"/>
                <w:sz w:val="18"/>
                <w:szCs w:val="18"/>
              </w:rPr>
              <w:t>[Tikai ERAF un Kohēzijas fonda finansētiem projektiem, kuru kopējās izmaksas pārsniedz 1 miljonu eiro]</w:t>
            </w:r>
            <w:r>
              <w:rPr>
                <w:rFonts w:ascii="Times New Roman" w:hAnsi="Times New Roman" w:cs="Times New Roman"/>
                <w:sz w:val="18"/>
                <w:szCs w:val="18"/>
              </w:rPr>
              <w:t xml:space="preserve"> </w:t>
            </w:r>
          </w:p>
          <w:p w:rsidR="00D545B5" w:rsidRDefault="00D545B5" w:rsidP="00956BC5">
            <w:pPr>
              <w:spacing w:before="120" w:after="120"/>
              <w:jc w:val="both"/>
              <w:rPr>
                <w:rFonts w:ascii="Times New Roman" w:hAnsi="Times New Roman" w:cs="Times New Roman"/>
                <w:sz w:val="18"/>
                <w:szCs w:val="18"/>
              </w:rPr>
            </w:pPr>
            <w:r w:rsidRPr="007E221F">
              <w:rPr>
                <w:rFonts w:ascii="Times New Roman" w:hAnsi="Times New Roman" w:cs="Times New Roman"/>
                <w:sz w:val="18"/>
                <w:szCs w:val="18"/>
              </w:rPr>
              <w:t>[Īpaša piezīme – šos objektus bez finanšu korekcijas veikšanas nevar izmantot ieņēmumu gūšanai]</w:t>
            </w:r>
          </w:p>
          <w:p w:rsidR="00D545B5" w:rsidRPr="0083464A" w:rsidRDefault="00D545B5" w:rsidP="00956BC5">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(Regula Nr. 1083/2006)</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71" w:type="dxa"/>
            <w:gridSpan w:val="3"/>
          </w:tcPr>
          <w:p w:rsidR="00D545B5" w:rsidRPr="003E13F6" w:rsidRDefault="00D545B5" w:rsidP="000B0D9C">
            <w:pPr>
              <w:spacing w:before="120"/>
              <w:rPr>
                <w:rFonts w:ascii="Times New Roman" w:hAnsi="Times New Roman" w:cs="Times New Roman"/>
                <w:sz w:val="20"/>
                <w:szCs w:val="20"/>
              </w:rPr>
            </w:pPr>
          </w:p>
        </w:tc>
        <w:tc>
          <w:tcPr>
            <w:tcW w:w="5750" w:type="dxa"/>
          </w:tcPr>
          <w:p w:rsidR="00D545B5" w:rsidRPr="003E13F6" w:rsidRDefault="00D545B5" w:rsidP="000B0D9C">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DC308E" w:rsidRDefault="00D545B5" w:rsidP="00DC308E">
            <w:pPr>
              <w:spacing w:before="120"/>
              <w:ind w:left="360"/>
              <w:rPr>
                <w:rFonts w:ascii="Times New Roman" w:hAnsi="Times New Roman" w:cs="Times New Roman"/>
                <w:sz w:val="20"/>
                <w:szCs w:val="20"/>
              </w:rPr>
            </w:pPr>
          </w:p>
        </w:tc>
        <w:tc>
          <w:tcPr>
            <w:tcW w:w="4678" w:type="dxa"/>
            <w:gridSpan w:val="2"/>
          </w:tcPr>
          <w:p w:rsidR="00D545B5" w:rsidRDefault="00D545B5" w:rsidP="00956BC5">
            <w:pPr>
              <w:spacing w:before="120"/>
              <w:jc w:val="both"/>
              <w:rPr>
                <w:rFonts w:ascii="Times New Roman" w:hAnsi="Times New Roman" w:cs="Times New Roman"/>
                <w:sz w:val="20"/>
                <w:szCs w:val="20"/>
              </w:rPr>
            </w:pPr>
            <w:r>
              <w:rPr>
                <w:rFonts w:ascii="Times New Roman" w:hAnsi="Times New Roman" w:cs="Times New Roman"/>
                <w:sz w:val="20"/>
                <w:szCs w:val="20"/>
              </w:rPr>
              <w:t>PO grāmatvedības/ finansu u</w:t>
            </w:r>
            <w:r w:rsidRPr="003E13F6">
              <w:rPr>
                <w:rFonts w:ascii="Times New Roman" w:hAnsi="Times New Roman" w:cs="Times New Roman"/>
                <w:sz w:val="20"/>
                <w:szCs w:val="20"/>
              </w:rPr>
              <w:t>zskaites si</w:t>
            </w:r>
            <w:r>
              <w:rPr>
                <w:rFonts w:ascii="Times New Roman" w:hAnsi="Times New Roman" w:cs="Times New Roman"/>
                <w:sz w:val="20"/>
                <w:szCs w:val="20"/>
              </w:rPr>
              <w:t>stēma nodrošina iespēju noteikt</w:t>
            </w:r>
            <w:r w:rsidRPr="003E13F6">
              <w:rPr>
                <w:rFonts w:ascii="Times New Roman" w:hAnsi="Times New Roman" w:cs="Times New Roman"/>
                <w:sz w:val="20"/>
                <w:szCs w:val="20"/>
              </w:rPr>
              <w:t>, cik lieli ieņēmumi tiek gūti ar konkrēto infrastruktūras objektu.</w:t>
            </w:r>
          </w:p>
          <w:p w:rsidR="00D545B5" w:rsidRDefault="00D545B5" w:rsidP="00956BC5">
            <w:pPr>
              <w:spacing w:before="120" w:after="120"/>
              <w:jc w:val="both"/>
              <w:rPr>
                <w:rFonts w:ascii="Times New Roman" w:hAnsi="Times New Roman" w:cs="Times New Roman"/>
                <w:sz w:val="18"/>
                <w:szCs w:val="18"/>
              </w:rPr>
            </w:pPr>
            <w:r w:rsidRPr="00B92785">
              <w:rPr>
                <w:rFonts w:ascii="Times New Roman" w:hAnsi="Times New Roman" w:cs="Times New Roman"/>
                <w:sz w:val="18"/>
                <w:szCs w:val="18"/>
              </w:rPr>
              <w:t xml:space="preserve">[Regulas Nr.1083/2006. 55.pants 5.punkts izvirza prasības identificēt ieņēmumus un veikt finanšu korekcijas tādiem par Fondu līdzekļiem iegādātiem </w:t>
            </w:r>
            <w:r w:rsidRPr="00281755">
              <w:rPr>
                <w:rFonts w:ascii="Times New Roman" w:hAnsi="Times New Roman" w:cs="Times New Roman"/>
                <w:sz w:val="18"/>
                <w:szCs w:val="18"/>
              </w:rPr>
              <w:t>nesaimnieciskās pamatdarbības infrastruktūras objektiem</w:t>
            </w:r>
            <w:r w:rsidRPr="00B92785">
              <w:rPr>
                <w:rFonts w:ascii="Times New Roman" w:hAnsi="Times New Roman" w:cs="Times New Roman"/>
                <w:sz w:val="18"/>
                <w:szCs w:val="18"/>
              </w:rPr>
              <w:t>, ko līdzfinansē ERAF vai Kohēzijas fonds un kuru kopējās izmaksas ir lielākas par 1 miljonu eiro un kuriem projektā nebija paredzēti ieņēmumi]</w:t>
            </w:r>
          </w:p>
          <w:p w:rsidR="00D545B5" w:rsidRPr="00B92785" w:rsidRDefault="00D545B5" w:rsidP="00956BC5">
            <w:pPr>
              <w:spacing w:before="120" w:after="120"/>
              <w:jc w:val="both"/>
              <w:rPr>
                <w:rFonts w:ascii="Times New Roman" w:hAnsi="Times New Roman" w:cs="Times New Roman"/>
                <w:sz w:val="18"/>
                <w:szCs w:val="18"/>
              </w:rPr>
            </w:pPr>
            <w:r w:rsidRPr="003E13F6">
              <w:rPr>
                <w:rFonts w:ascii="Times New Roman" w:hAnsi="Times New Roman" w:cs="Times New Roman"/>
                <w:sz w:val="20"/>
                <w:szCs w:val="20"/>
              </w:rPr>
              <w:t xml:space="preserve">Iespējams </w:t>
            </w:r>
            <w:r>
              <w:rPr>
                <w:rFonts w:ascii="Times New Roman" w:hAnsi="Times New Roman" w:cs="Times New Roman"/>
                <w:sz w:val="20"/>
                <w:szCs w:val="20"/>
              </w:rPr>
              <w:t>identificēt</w:t>
            </w:r>
            <w:r w:rsidRPr="003E13F6">
              <w:rPr>
                <w:rFonts w:ascii="Times New Roman" w:hAnsi="Times New Roman" w:cs="Times New Roman"/>
                <w:sz w:val="20"/>
                <w:szCs w:val="20"/>
              </w:rPr>
              <w:t xml:space="preserve">, cik liela ir katra par Fonda līdzekļiem finansēta </w:t>
            </w:r>
            <w:r>
              <w:rPr>
                <w:rFonts w:ascii="Times New Roman" w:hAnsi="Times New Roman" w:cs="Times New Roman"/>
                <w:sz w:val="20"/>
                <w:szCs w:val="20"/>
              </w:rPr>
              <w:t>ilgtermiņa</w:t>
            </w:r>
            <w:r w:rsidRPr="003E13F6">
              <w:rPr>
                <w:rFonts w:ascii="Times New Roman" w:hAnsi="Times New Roman" w:cs="Times New Roman"/>
                <w:sz w:val="20"/>
                <w:szCs w:val="20"/>
              </w:rPr>
              <w:t xml:space="preserve"> infrastruktūras </w:t>
            </w:r>
            <w:r>
              <w:rPr>
                <w:rFonts w:ascii="Times New Roman" w:hAnsi="Times New Roman" w:cs="Times New Roman"/>
                <w:sz w:val="20"/>
                <w:szCs w:val="20"/>
              </w:rPr>
              <w:t>aktīva</w:t>
            </w:r>
            <w:r w:rsidRPr="003E13F6">
              <w:rPr>
                <w:rFonts w:ascii="Times New Roman" w:hAnsi="Times New Roman" w:cs="Times New Roman"/>
                <w:sz w:val="20"/>
                <w:szCs w:val="20"/>
              </w:rPr>
              <w:t xml:space="preserve"> nolietojuma daļa, kas attiecināma uz konkrētu ieņēmumus gūstošo projektu</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71" w:type="dxa"/>
            <w:gridSpan w:val="3"/>
          </w:tcPr>
          <w:p w:rsidR="00D545B5" w:rsidRPr="003E13F6" w:rsidRDefault="00D545B5" w:rsidP="000B0D9C">
            <w:pPr>
              <w:spacing w:before="120"/>
              <w:rPr>
                <w:rFonts w:ascii="Times New Roman" w:hAnsi="Times New Roman" w:cs="Times New Roman"/>
                <w:sz w:val="20"/>
                <w:szCs w:val="20"/>
              </w:rPr>
            </w:pPr>
          </w:p>
        </w:tc>
        <w:tc>
          <w:tcPr>
            <w:tcW w:w="5750" w:type="dxa"/>
          </w:tcPr>
          <w:p w:rsidR="00D545B5" w:rsidRPr="003E13F6" w:rsidRDefault="00D545B5" w:rsidP="000B0D9C">
            <w:pPr>
              <w:spacing w:before="120"/>
              <w:rPr>
                <w:rFonts w:ascii="Times New Roman" w:hAnsi="Times New Roman" w:cs="Times New Roman"/>
                <w:sz w:val="20"/>
                <w:szCs w:val="20"/>
              </w:rPr>
            </w:pPr>
          </w:p>
        </w:tc>
      </w:tr>
      <w:tr w:rsidR="00D545B5" w:rsidRPr="00D91365" w:rsidTr="00C8314F">
        <w:trPr>
          <w:cantSplit/>
        </w:trPr>
        <w:tc>
          <w:tcPr>
            <w:tcW w:w="13575" w:type="dxa"/>
            <w:gridSpan w:val="11"/>
          </w:tcPr>
          <w:p w:rsidR="00D545B5" w:rsidRPr="00D91365" w:rsidRDefault="00D545B5" w:rsidP="00B92785">
            <w:pPr>
              <w:spacing w:before="120" w:after="120"/>
              <w:jc w:val="both"/>
              <w:rPr>
                <w:rFonts w:ascii="Times New Roman" w:hAnsi="Times New Roman" w:cs="Times New Roman"/>
                <w:b/>
                <w:sz w:val="24"/>
                <w:szCs w:val="24"/>
              </w:rPr>
            </w:pPr>
            <w:r w:rsidRPr="00D150D4">
              <w:rPr>
                <w:rFonts w:ascii="Times New Roman" w:hAnsi="Times New Roman" w:cs="Times New Roman"/>
                <w:b/>
                <w:sz w:val="24"/>
                <w:szCs w:val="24"/>
              </w:rPr>
              <w:t>Nolietojums</w:t>
            </w:r>
            <w:r>
              <w:rPr>
                <w:rFonts w:ascii="Times New Roman" w:hAnsi="Times New Roman" w:cs="Times New Roman"/>
                <w:b/>
                <w:sz w:val="24"/>
                <w:szCs w:val="24"/>
              </w:rPr>
              <w:t xml:space="preserve"> un tā attiecināšana</w:t>
            </w:r>
          </w:p>
        </w:tc>
      </w:tr>
      <w:tr w:rsidR="00D545B5" w:rsidRPr="003E13F6" w:rsidTr="00C8314F">
        <w:trPr>
          <w:cantSplit/>
        </w:trPr>
        <w:tc>
          <w:tcPr>
            <w:tcW w:w="959" w:type="dxa"/>
            <w:vMerge w:val="restart"/>
          </w:tcPr>
          <w:p w:rsidR="00D545B5" w:rsidRPr="003E13F6" w:rsidRDefault="00D545B5" w:rsidP="00D31146">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D545B5" w:rsidRPr="003E13F6" w:rsidRDefault="00D545B5" w:rsidP="00EF6010">
            <w:pPr>
              <w:spacing w:before="120" w:after="120"/>
              <w:jc w:val="both"/>
              <w:rPr>
                <w:rFonts w:ascii="Times New Roman" w:hAnsi="Times New Roman" w:cs="Times New Roman"/>
                <w:sz w:val="20"/>
                <w:szCs w:val="20"/>
              </w:rPr>
            </w:pPr>
            <w:r w:rsidRPr="003E13F6">
              <w:rPr>
                <w:rFonts w:ascii="Times New Roman" w:hAnsi="Times New Roman" w:cs="Times New Roman"/>
                <w:sz w:val="20"/>
                <w:szCs w:val="20"/>
              </w:rPr>
              <w:t xml:space="preserve">Ilgtermiņa aktīviem amortizācija un nolietojums tiek aprēķināts atbilstoši </w:t>
            </w:r>
            <w:r>
              <w:rPr>
                <w:rFonts w:ascii="Times New Roman" w:hAnsi="Times New Roman" w:cs="Times New Roman"/>
                <w:sz w:val="20"/>
                <w:szCs w:val="20"/>
              </w:rPr>
              <w:t xml:space="preserve">normatīvo aktu prasībām </w:t>
            </w:r>
            <w:r w:rsidRPr="003E13F6">
              <w:rPr>
                <w:rFonts w:ascii="Times New Roman" w:hAnsi="Times New Roman" w:cs="Times New Roman"/>
                <w:sz w:val="20"/>
                <w:szCs w:val="20"/>
              </w:rPr>
              <w:t xml:space="preserve">(valsts budžeta finansētajās iestādēs) </w:t>
            </w:r>
            <w:r>
              <w:rPr>
                <w:rFonts w:ascii="Times New Roman" w:hAnsi="Times New Roman" w:cs="Times New Roman"/>
                <w:sz w:val="20"/>
                <w:szCs w:val="20"/>
              </w:rPr>
              <w:t>un</w:t>
            </w:r>
            <w:r w:rsidRPr="003E13F6">
              <w:rPr>
                <w:rFonts w:ascii="Times New Roman" w:hAnsi="Times New Roman" w:cs="Times New Roman"/>
                <w:sz w:val="20"/>
                <w:szCs w:val="20"/>
              </w:rPr>
              <w:t xml:space="preserve"> </w:t>
            </w:r>
            <w:r>
              <w:rPr>
                <w:rFonts w:ascii="Times New Roman" w:hAnsi="Times New Roman" w:cs="Times New Roman"/>
                <w:sz w:val="20"/>
                <w:szCs w:val="20"/>
              </w:rPr>
              <w:t xml:space="preserve">PO </w:t>
            </w:r>
            <w:r w:rsidRPr="003E13F6">
              <w:rPr>
                <w:rFonts w:ascii="Times New Roman" w:hAnsi="Times New Roman" w:cs="Times New Roman"/>
                <w:sz w:val="20"/>
                <w:szCs w:val="20"/>
              </w:rPr>
              <w:t>grāmatvedības politikai</w:t>
            </w:r>
            <w:r>
              <w:rPr>
                <w:rFonts w:ascii="Times New Roman" w:hAnsi="Times New Roman" w:cs="Times New Roman"/>
                <w:sz w:val="20"/>
                <w:szCs w:val="20"/>
              </w:rPr>
              <w:t>.</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71" w:type="dxa"/>
            <w:gridSpan w:val="3"/>
          </w:tcPr>
          <w:p w:rsidR="00D545B5" w:rsidRPr="003E13F6" w:rsidRDefault="00D545B5" w:rsidP="000B0D9C">
            <w:pPr>
              <w:spacing w:before="120"/>
              <w:rPr>
                <w:rFonts w:ascii="Times New Roman" w:hAnsi="Times New Roman" w:cs="Times New Roman"/>
                <w:sz w:val="20"/>
                <w:szCs w:val="20"/>
              </w:rPr>
            </w:pPr>
          </w:p>
        </w:tc>
        <w:tc>
          <w:tcPr>
            <w:tcW w:w="5750" w:type="dxa"/>
          </w:tcPr>
          <w:p w:rsidR="00D545B5" w:rsidRPr="003E13F6" w:rsidRDefault="00D545B5" w:rsidP="000B0D9C">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D31146" w:rsidRDefault="00D545B5" w:rsidP="00D31146">
            <w:pPr>
              <w:spacing w:before="120"/>
              <w:ind w:left="360"/>
              <w:rPr>
                <w:rFonts w:ascii="Times New Roman" w:hAnsi="Times New Roman" w:cs="Times New Roman"/>
                <w:sz w:val="20"/>
                <w:szCs w:val="20"/>
              </w:rPr>
            </w:pPr>
          </w:p>
        </w:tc>
        <w:tc>
          <w:tcPr>
            <w:tcW w:w="4678" w:type="dxa"/>
            <w:gridSpan w:val="2"/>
          </w:tcPr>
          <w:p w:rsidR="00D545B5" w:rsidRDefault="00D545B5" w:rsidP="0014262F">
            <w:pPr>
              <w:spacing w:before="120" w:after="120"/>
              <w:jc w:val="both"/>
              <w:rPr>
                <w:rFonts w:ascii="Times New Roman" w:hAnsi="Times New Roman" w:cs="Times New Roman"/>
                <w:sz w:val="20"/>
                <w:szCs w:val="20"/>
              </w:rPr>
            </w:pPr>
            <w:r w:rsidRPr="009203DF">
              <w:rPr>
                <w:rFonts w:ascii="Times New Roman" w:hAnsi="Times New Roman" w:cs="Times New Roman"/>
                <w:sz w:val="20"/>
                <w:szCs w:val="20"/>
              </w:rPr>
              <w:t>Nolietojums tiek sadalīts, balstoties uz pamatlīdzekļa izmantošanas vienību atskaiti (</w:t>
            </w:r>
            <w:r>
              <w:rPr>
                <w:rFonts w:ascii="Times New Roman" w:hAnsi="Times New Roman" w:cs="Times New Roman"/>
                <w:sz w:val="20"/>
                <w:szCs w:val="20"/>
              </w:rPr>
              <w:t xml:space="preserve">piemēram, </w:t>
            </w:r>
            <w:r w:rsidRPr="009203DF">
              <w:rPr>
                <w:rFonts w:ascii="Times New Roman" w:hAnsi="Times New Roman" w:cs="Times New Roman"/>
                <w:sz w:val="20"/>
                <w:szCs w:val="20"/>
              </w:rPr>
              <w:t>ma</w:t>
            </w:r>
            <w:r>
              <w:rPr>
                <w:rFonts w:ascii="Times New Roman" w:hAnsi="Times New Roman" w:cs="Times New Roman"/>
                <w:sz w:val="20"/>
                <w:szCs w:val="20"/>
              </w:rPr>
              <w:t>šīnstundu uzskaites kopsavilkum</w:t>
            </w:r>
            <w:r w:rsidRPr="009203DF">
              <w:rPr>
                <w:rFonts w:ascii="Times New Roman" w:hAnsi="Times New Roman" w:cs="Times New Roman"/>
                <w:sz w:val="20"/>
                <w:szCs w:val="20"/>
              </w:rPr>
              <w:t>s), ja to ir iespējams sadalīt tieši.</w:t>
            </w:r>
          </w:p>
          <w:p w:rsidR="00D545B5" w:rsidRPr="009203DF" w:rsidRDefault="00D545B5" w:rsidP="00822D7C">
            <w:pPr>
              <w:spacing w:before="120" w:after="120"/>
              <w:jc w:val="both"/>
              <w:rPr>
                <w:rFonts w:ascii="Times New Roman" w:hAnsi="Times New Roman" w:cs="Times New Roman"/>
                <w:sz w:val="20"/>
                <w:szCs w:val="20"/>
              </w:rPr>
            </w:pPr>
            <w:r w:rsidRPr="00D840EE">
              <w:rPr>
                <w:rFonts w:ascii="Times New Roman" w:hAnsi="Times New Roman" w:cs="Times New Roman"/>
                <w:sz w:val="20"/>
                <w:szCs w:val="20"/>
              </w:rPr>
              <w:t xml:space="preserve">Infrastruktūras objektiem pēc iegādes tiek noteikts izmaksu nesējs </w:t>
            </w:r>
            <w:r>
              <w:rPr>
                <w:rFonts w:ascii="Times New Roman" w:hAnsi="Times New Roman" w:cs="Times New Roman"/>
                <w:sz w:val="20"/>
                <w:szCs w:val="20"/>
              </w:rPr>
              <w:t>(‘</w:t>
            </w:r>
            <w:r w:rsidRPr="001003B8">
              <w:rPr>
                <w:rFonts w:ascii="Times New Roman" w:hAnsi="Times New Roman" w:cs="Times New Roman"/>
                <w:i/>
                <w:sz w:val="20"/>
                <w:szCs w:val="20"/>
              </w:rPr>
              <w:t>cost driver</w:t>
            </w:r>
            <w:r>
              <w:rPr>
                <w:rFonts w:ascii="Times New Roman" w:hAnsi="Times New Roman" w:cs="Times New Roman"/>
                <w:sz w:val="20"/>
                <w:szCs w:val="20"/>
              </w:rPr>
              <w:t xml:space="preserve">’) </w:t>
            </w:r>
            <w:r w:rsidRPr="00D840EE">
              <w:rPr>
                <w:rFonts w:ascii="Times New Roman" w:hAnsi="Times New Roman" w:cs="Times New Roman"/>
                <w:sz w:val="20"/>
                <w:szCs w:val="20"/>
              </w:rPr>
              <w:t xml:space="preserve">un paredzamais izmantošanas apjoms. </w:t>
            </w:r>
            <w:r>
              <w:rPr>
                <w:rFonts w:ascii="Times New Roman" w:hAnsi="Times New Roman" w:cs="Times New Roman"/>
                <w:sz w:val="20"/>
                <w:szCs w:val="20"/>
              </w:rPr>
              <w:t>Nolietojuma i</w:t>
            </w:r>
            <w:r w:rsidRPr="00D840EE">
              <w:rPr>
                <w:rFonts w:ascii="Times New Roman" w:hAnsi="Times New Roman" w:cs="Times New Roman"/>
                <w:sz w:val="20"/>
                <w:szCs w:val="20"/>
              </w:rPr>
              <w:t xml:space="preserve">zmaksas </w:t>
            </w:r>
            <w:r>
              <w:rPr>
                <w:rFonts w:ascii="Times New Roman" w:hAnsi="Times New Roman" w:cs="Times New Roman"/>
                <w:sz w:val="20"/>
                <w:szCs w:val="20"/>
              </w:rPr>
              <w:t xml:space="preserve">uz konkrētu projektu </w:t>
            </w:r>
            <w:r w:rsidRPr="00D840EE">
              <w:rPr>
                <w:rFonts w:ascii="Times New Roman" w:hAnsi="Times New Roman" w:cs="Times New Roman"/>
                <w:sz w:val="20"/>
                <w:szCs w:val="20"/>
              </w:rPr>
              <w:t xml:space="preserve">tiek attiecinātas proporcionāli </w:t>
            </w:r>
            <w:r>
              <w:rPr>
                <w:rFonts w:ascii="Times New Roman" w:hAnsi="Times New Roman" w:cs="Times New Roman"/>
                <w:sz w:val="20"/>
                <w:szCs w:val="20"/>
              </w:rPr>
              <w:t xml:space="preserve">infrastruktūras </w:t>
            </w:r>
            <w:r w:rsidRPr="00D840EE">
              <w:rPr>
                <w:rFonts w:ascii="Times New Roman" w:hAnsi="Times New Roman" w:cs="Times New Roman"/>
                <w:sz w:val="20"/>
                <w:szCs w:val="20"/>
              </w:rPr>
              <w:t>objekta izmantošanai projektā pret paredzēto izmantošanas apjomu</w:t>
            </w:r>
            <w:r>
              <w:rPr>
                <w:rFonts w:ascii="Times New Roman" w:hAnsi="Times New Roman" w:cs="Times New Roman"/>
                <w:sz w:val="20"/>
                <w:szCs w:val="20"/>
              </w:rPr>
              <w:t>.</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71" w:type="dxa"/>
            <w:gridSpan w:val="3"/>
          </w:tcPr>
          <w:p w:rsidR="00D545B5" w:rsidRDefault="00D545B5" w:rsidP="000B0D9C">
            <w:pPr>
              <w:spacing w:before="120"/>
              <w:rPr>
                <w:rFonts w:ascii="Times New Roman" w:hAnsi="Times New Roman" w:cs="Times New Roman"/>
                <w:sz w:val="20"/>
                <w:szCs w:val="20"/>
              </w:rPr>
            </w:pPr>
          </w:p>
        </w:tc>
        <w:tc>
          <w:tcPr>
            <w:tcW w:w="5750" w:type="dxa"/>
          </w:tcPr>
          <w:p w:rsidR="00D545B5" w:rsidRPr="003E13F6" w:rsidRDefault="00D545B5" w:rsidP="000B0D9C">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D31146" w:rsidRDefault="00D545B5" w:rsidP="00D31146">
            <w:pPr>
              <w:spacing w:before="120"/>
              <w:ind w:left="360"/>
              <w:rPr>
                <w:rFonts w:ascii="Times New Roman" w:hAnsi="Times New Roman" w:cs="Times New Roman"/>
                <w:sz w:val="20"/>
                <w:szCs w:val="20"/>
              </w:rPr>
            </w:pPr>
          </w:p>
        </w:tc>
        <w:tc>
          <w:tcPr>
            <w:tcW w:w="4678" w:type="dxa"/>
            <w:gridSpan w:val="2"/>
          </w:tcPr>
          <w:p w:rsidR="00D545B5" w:rsidRPr="009203DF" w:rsidRDefault="00D545B5" w:rsidP="0014262F">
            <w:pPr>
              <w:spacing w:before="120"/>
              <w:jc w:val="both"/>
              <w:rPr>
                <w:rFonts w:ascii="Times New Roman" w:hAnsi="Times New Roman" w:cs="Times New Roman"/>
                <w:sz w:val="20"/>
                <w:szCs w:val="20"/>
              </w:rPr>
            </w:pPr>
            <w:r w:rsidRPr="00F136AD">
              <w:rPr>
                <w:rFonts w:ascii="Times New Roman" w:hAnsi="Times New Roman" w:cs="Times New Roman"/>
                <w:sz w:val="20"/>
                <w:szCs w:val="20"/>
              </w:rPr>
              <w:t xml:space="preserve">Projekta ietvaros veiktās </w:t>
            </w:r>
            <w:r w:rsidRPr="00D31704">
              <w:rPr>
                <w:rFonts w:ascii="Times New Roman" w:hAnsi="Times New Roman" w:cs="Times New Roman"/>
                <w:sz w:val="20"/>
                <w:szCs w:val="20"/>
              </w:rPr>
              <w:t>tiešās un netiešās izmaksas</w:t>
            </w:r>
            <w:r w:rsidRPr="00F136AD">
              <w:rPr>
                <w:rFonts w:ascii="Times New Roman" w:hAnsi="Times New Roman" w:cs="Times New Roman"/>
                <w:sz w:val="20"/>
                <w:szCs w:val="20"/>
              </w:rPr>
              <w:t xml:space="preserve"> tiek uzskaitītas atbilstoši </w:t>
            </w:r>
            <w:r>
              <w:rPr>
                <w:rFonts w:ascii="Times New Roman" w:hAnsi="Times New Roman" w:cs="Times New Roman"/>
                <w:sz w:val="20"/>
                <w:szCs w:val="20"/>
              </w:rPr>
              <w:t xml:space="preserve">projektā paredzētajai </w:t>
            </w:r>
            <w:r w:rsidRPr="00F136AD">
              <w:rPr>
                <w:rFonts w:ascii="Times New Roman" w:hAnsi="Times New Roman" w:cs="Times New Roman"/>
                <w:sz w:val="20"/>
                <w:szCs w:val="20"/>
              </w:rPr>
              <w:t>saimnieciskās un nesaimnieciskās pamatdarbības proporcijai.</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71" w:type="dxa"/>
            <w:gridSpan w:val="3"/>
          </w:tcPr>
          <w:p w:rsidR="00D545B5" w:rsidRDefault="00D545B5" w:rsidP="000B0D9C">
            <w:pPr>
              <w:spacing w:before="120"/>
              <w:rPr>
                <w:rFonts w:ascii="Times New Roman" w:hAnsi="Times New Roman" w:cs="Times New Roman"/>
                <w:sz w:val="20"/>
                <w:szCs w:val="20"/>
              </w:rPr>
            </w:pPr>
          </w:p>
        </w:tc>
        <w:tc>
          <w:tcPr>
            <w:tcW w:w="5750" w:type="dxa"/>
          </w:tcPr>
          <w:p w:rsidR="00D545B5" w:rsidRPr="003E13F6" w:rsidRDefault="00D545B5" w:rsidP="000B0D9C">
            <w:pPr>
              <w:spacing w:before="120"/>
              <w:rPr>
                <w:rFonts w:ascii="Times New Roman" w:hAnsi="Times New Roman" w:cs="Times New Roman"/>
                <w:sz w:val="20"/>
                <w:szCs w:val="20"/>
              </w:rPr>
            </w:pPr>
          </w:p>
        </w:tc>
      </w:tr>
      <w:tr w:rsidR="00D545B5" w:rsidRPr="003E13F6" w:rsidTr="00C8314F">
        <w:trPr>
          <w:cantSplit/>
        </w:trPr>
        <w:tc>
          <w:tcPr>
            <w:tcW w:w="13575" w:type="dxa"/>
            <w:gridSpan w:val="11"/>
          </w:tcPr>
          <w:p w:rsidR="00D545B5" w:rsidRPr="002C7C3D" w:rsidRDefault="00D545B5" w:rsidP="002C7C3D">
            <w:pPr>
              <w:spacing w:before="120" w:after="120"/>
              <w:jc w:val="both"/>
              <w:rPr>
                <w:rFonts w:ascii="Times New Roman" w:hAnsi="Times New Roman" w:cs="Times New Roman"/>
                <w:b/>
                <w:sz w:val="24"/>
                <w:szCs w:val="24"/>
              </w:rPr>
            </w:pPr>
            <w:r w:rsidRPr="002C7C3D">
              <w:rPr>
                <w:rFonts w:ascii="Times New Roman" w:hAnsi="Times New Roman" w:cs="Times New Roman"/>
                <w:b/>
                <w:sz w:val="24"/>
                <w:szCs w:val="24"/>
              </w:rPr>
              <w:t>Nākamo periodu ieņēmum</w:t>
            </w:r>
            <w:r>
              <w:rPr>
                <w:rFonts w:ascii="Times New Roman" w:hAnsi="Times New Roman" w:cs="Times New Roman"/>
                <w:b/>
                <w:sz w:val="24"/>
                <w:szCs w:val="24"/>
              </w:rPr>
              <w:t>i</w:t>
            </w:r>
          </w:p>
        </w:tc>
      </w:tr>
      <w:tr w:rsidR="00D545B5" w:rsidRPr="003E13F6" w:rsidTr="00C8314F">
        <w:trPr>
          <w:cantSplit/>
        </w:trPr>
        <w:tc>
          <w:tcPr>
            <w:tcW w:w="959" w:type="dxa"/>
          </w:tcPr>
          <w:p w:rsidR="00D545B5" w:rsidRPr="00A014FE" w:rsidRDefault="00D545B5" w:rsidP="00882F85">
            <w:pPr>
              <w:pStyle w:val="ListParagraph"/>
              <w:numPr>
                <w:ilvl w:val="1"/>
                <w:numId w:val="3"/>
              </w:numPr>
              <w:spacing w:before="120" w:line="240" w:lineRule="auto"/>
              <w:rPr>
                <w:rFonts w:ascii="Times New Roman" w:hAnsi="Times New Roman" w:cs="Times New Roman"/>
                <w:sz w:val="20"/>
                <w:szCs w:val="20"/>
                <w:lang w:val="lv-LV"/>
              </w:rPr>
            </w:pPr>
          </w:p>
        </w:tc>
        <w:tc>
          <w:tcPr>
            <w:tcW w:w="4536" w:type="dxa"/>
          </w:tcPr>
          <w:p w:rsidR="00D545B5" w:rsidRPr="00BA25CA" w:rsidRDefault="00D545B5" w:rsidP="00CC4721">
            <w:pPr>
              <w:spacing w:before="120" w:after="120"/>
              <w:jc w:val="both"/>
              <w:rPr>
                <w:rFonts w:ascii="Times New Roman" w:hAnsi="Times New Roman" w:cs="Times New Roman"/>
                <w:sz w:val="20"/>
                <w:szCs w:val="20"/>
              </w:rPr>
            </w:pPr>
            <w:r w:rsidRPr="00BA25CA">
              <w:rPr>
                <w:rFonts w:ascii="Times New Roman" w:hAnsi="Times New Roman" w:cs="Times New Roman"/>
                <w:sz w:val="20"/>
                <w:szCs w:val="20"/>
              </w:rPr>
              <w:t xml:space="preserve">Ilgtermiņa aktīviem, kas finansēti no ārvalstu finanšu palīdzības, šī palīdzība tiek uzskaitīta „Nākamo periodu ieņēmumu” sastāvā bilances pasīvā.  </w:t>
            </w:r>
            <w:r>
              <w:rPr>
                <w:rFonts w:ascii="Times New Roman" w:hAnsi="Times New Roman" w:cs="Times New Roman"/>
                <w:sz w:val="20"/>
                <w:szCs w:val="20"/>
              </w:rPr>
              <w:t>U</w:t>
            </w:r>
            <w:r w:rsidRPr="00BA25CA">
              <w:rPr>
                <w:rFonts w:ascii="Times New Roman" w:hAnsi="Times New Roman" w:cs="Times New Roman"/>
                <w:sz w:val="20"/>
                <w:szCs w:val="20"/>
              </w:rPr>
              <w:t>zskaitīt</w:t>
            </w:r>
            <w:r>
              <w:rPr>
                <w:rFonts w:ascii="Times New Roman" w:hAnsi="Times New Roman" w:cs="Times New Roman"/>
                <w:sz w:val="20"/>
                <w:szCs w:val="20"/>
              </w:rPr>
              <w:t>ā</w:t>
            </w:r>
            <w:r w:rsidRPr="00BA25CA">
              <w:rPr>
                <w:rFonts w:ascii="Times New Roman" w:hAnsi="Times New Roman" w:cs="Times New Roman"/>
                <w:sz w:val="20"/>
                <w:szCs w:val="20"/>
              </w:rPr>
              <w:t xml:space="preserve"> saņemtā finansējuma vērtīb</w:t>
            </w:r>
            <w:r>
              <w:rPr>
                <w:rFonts w:ascii="Times New Roman" w:hAnsi="Times New Roman" w:cs="Times New Roman"/>
                <w:sz w:val="20"/>
                <w:szCs w:val="20"/>
              </w:rPr>
              <w:t>a</w:t>
            </w:r>
            <w:r w:rsidRPr="00BA25CA">
              <w:rPr>
                <w:rFonts w:ascii="Times New Roman" w:hAnsi="Times New Roman" w:cs="Times New Roman"/>
                <w:sz w:val="20"/>
                <w:szCs w:val="20"/>
              </w:rPr>
              <w:t xml:space="preserve"> pakāpeniski </w:t>
            </w:r>
            <w:r>
              <w:rPr>
                <w:rFonts w:ascii="Times New Roman" w:hAnsi="Times New Roman" w:cs="Times New Roman"/>
                <w:sz w:val="20"/>
                <w:szCs w:val="20"/>
              </w:rPr>
              <w:t xml:space="preserve">tiek </w:t>
            </w:r>
            <w:r w:rsidRPr="00BA25CA">
              <w:rPr>
                <w:rFonts w:ascii="Times New Roman" w:hAnsi="Times New Roman" w:cs="Times New Roman"/>
                <w:sz w:val="20"/>
                <w:szCs w:val="20"/>
              </w:rPr>
              <w:t>iekļau</w:t>
            </w:r>
            <w:r>
              <w:rPr>
                <w:rFonts w:ascii="Times New Roman" w:hAnsi="Times New Roman" w:cs="Times New Roman"/>
                <w:sz w:val="20"/>
                <w:szCs w:val="20"/>
              </w:rPr>
              <w:t>ta</w:t>
            </w:r>
            <w:r w:rsidRPr="00BA25CA">
              <w:rPr>
                <w:rFonts w:ascii="Times New Roman" w:hAnsi="Times New Roman" w:cs="Times New Roman"/>
                <w:sz w:val="20"/>
                <w:szCs w:val="20"/>
              </w:rPr>
              <w:t xml:space="preserve"> attiecīgo pārskata periodu ieņēmumos</w:t>
            </w:r>
            <w:r>
              <w:rPr>
                <w:rFonts w:ascii="Times New Roman" w:hAnsi="Times New Roman" w:cs="Times New Roman"/>
                <w:sz w:val="20"/>
                <w:szCs w:val="20"/>
              </w:rPr>
              <w:t xml:space="preserve"> (</w:t>
            </w:r>
            <w:r w:rsidRPr="00BA25CA">
              <w:rPr>
                <w:rFonts w:ascii="Times New Roman" w:hAnsi="Times New Roman" w:cs="Times New Roman"/>
                <w:sz w:val="20"/>
                <w:szCs w:val="20"/>
              </w:rPr>
              <w:t>atbilstoši ilgtermiņa ieguldījuma kārtējā gada nolietojuma daļai, kas attiecas uz saņemto Fondu finansējumu</w:t>
            </w:r>
            <w:r>
              <w:rPr>
                <w:rFonts w:ascii="Times New Roman" w:hAnsi="Times New Roman" w:cs="Times New Roman"/>
                <w:sz w:val="20"/>
                <w:szCs w:val="20"/>
              </w:rPr>
              <w:t>).</w:t>
            </w:r>
            <w:r w:rsidRPr="00BA25CA">
              <w:rPr>
                <w:rFonts w:ascii="Times New Roman" w:hAnsi="Times New Roman" w:cs="Times New Roman"/>
                <w:sz w:val="20"/>
                <w:szCs w:val="20"/>
              </w:rPr>
              <w:t xml:space="preserve"> </w:t>
            </w:r>
          </w:p>
        </w:tc>
        <w:tc>
          <w:tcPr>
            <w:tcW w:w="708" w:type="dxa"/>
            <w:gridSpan w:val="2"/>
          </w:tcPr>
          <w:p w:rsidR="00D545B5" w:rsidRPr="003E13F6" w:rsidRDefault="00D545B5" w:rsidP="002C05A3">
            <w:pPr>
              <w:spacing w:before="120"/>
              <w:rPr>
                <w:rFonts w:ascii="Times New Roman" w:hAnsi="Times New Roman" w:cs="Times New Roman"/>
                <w:sz w:val="20"/>
                <w:szCs w:val="20"/>
              </w:rPr>
            </w:pPr>
          </w:p>
        </w:tc>
        <w:tc>
          <w:tcPr>
            <w:tcW w:w="709" w:type="dxa"/>
            <w:gridSpan w:val="2"/>
          </w:tcPr>
          <w:p w:rsidR="00D545B5" w:rsidRPr="003E13F6" w:rsidRDefault="00D545B5" w:rsidP="002C05A3">
            <w:pPr>
              <w:spacing w:before="120"/>
              <w:rPr>
                <w:rFonts w:ascii="Times New Roman" w:hAnsi="Times New Roman" w:cs="Times New Roman"/>
                <w:sz w:val="20"/>
                <w:szCs w:val="20"/>
              </w:rPr>
            </w:pPr>
          </w:p>
        </w:tc>
        <w:tc>
          <w:tcPr>
            <w:tcW w:w="771" w:type="dxa"/>
            <w:gridSpan w:val="2"/>
          </w:tcPr>
          <w:p w:rsidR="00D545B5" w:rsidRPr="002B090F" w:rsidRDefault="00D545B5" w:rsidP="002C05A3">
            <w:pPr>
              <w:spacing w:before="120"/>
              <w:rPr>
                <w:rFonts w:ascii="Times New Roman" w:hAnsi="Times New Roman" w:cs="Times New Roman"/>
                <w:b/>
                <w:sz w:val="20"/>
                <w:szCs w:val="20"/>
              </w:rPr>
            </w:pPr>
          </w:p>
        </w:tc>
        <w:tc>
          <w:tcPr>
            <w:tcW w:w="5892" w:type="dxa"/>
            <w:gridSpan w:val="3"/>
          </w:tcPr>
          <w:p w:rsidR="00D545B5" w:rsidRPr="00CC51A0" w:rsidRDefault="00D545B5" w:rsidP="002C05A3">
            <w:pPr>
              <w:spacing w:before="120"/>
              <w:rPr>
                <w:rFonts w:ascii="Times New Roman" w:hAnsi="Times New Roman" w:cs="Times New Roman"/>
                <w:sz w:val="20"/>
                <w:szCs w:val="20"/>
              </w:rPr>
            </w:pPr>
          </w:p>
        </w:tc>
      </w:tr>
      <w:tr w:rsidR="00D545B5" w:rsidRPr="00606EF4" w:rsidTr="00C8314F">
        <w:trPr>
          <w:cantSplit/>
        </w:trPr>
        <w:tc>
          <w:tcPr>
            <w:tcW w:w="959" w:type="dxa"/>
            <w:shd w:val="clear" w:color="auto" w:fill="00338D"/>
          </w:tcPr>
          <w:p w:rsidR="00D545B5" w:rsidRPr="00606EF4" w:rsidRDefault="00D545B5" w:rsidP="00D31146">
            <w:pPr>
              <w:pStyle w:val="ListParagraph"/>
              <w:numPr>
                <w:ilvl w:val="0"/>
                <w:numId w:val="3"/>
              </w:numPr>
              <w:spacing w:before="120" w:line="240" w:lineRule="auto"/>
              <w:rPr>
                <w:rFonts w:ascii="Times New Roman" w:hAnsi="Times New Roman" w:cs="Times New Roman"/>
                <w:b/>
                <w:sz w:val="28"/>
                <w:szCs w:val="28"/>
                <w:lang w:val="lv-LV"/>
              </w:rPr>
            </w:pPr>
          </w:p>
        </w:tc>
        <w:tc>
          <w:tcPr>
            <w:tcW w:w="12616" w:type="dxa"/>
            <w:gridSpan w:val="10"/>
            <w:shd w:val="clear" w:color="auto" w:fill="00338D"/>
          </w:tcPr>
          <w:p w:rsidR="00D545B5" w:rsidRPr="00606EF4" w:rsidRDefault="00D545B5" w:rsidP="00B92785">
            <w:pPr>
              <w:spacing w:before="160"/>
              <w:jc w:val="both"/>
              <w:rPr>
                <w:rFonts w:ascii="Times New Roman" w:hAnsi="Times New Roman" w:cs="Times New Roman"/>
                <w:b/>
                <w:sz w:val="28"/>
                <w:szCs w:val="28"/>
              </w:rPr>
            </w:pPr>
            <w:r w:rsidRPr="00606EF4">
              <w:rPr>
                <w:rFonts w:ascii="Times New Roman" w:hAnsi="Times New Roman" w:cs="Times New Roman"/>
                <w:b/>
                <w:sz w:val="28"/>
                <w:szCs w:val="28"/>
              </w:rPr>
              <w:t>Ieņēmum</w:t>
            </w:r>
            <w:r>
              <w:rPr>
                <w:rFonts w:ascii="Times New Roman" w:hAnsi="Times New Roman" w:cs="Times New Roman"/>
                <w:b/>
                <w:sz w:val="28"/>
                <w:szCs w:val="28"/>
              </w:rPr>
              <w:t>i</w:t>
            </w:r>
          </w:p>
        </w:tc>
      </w:tr>
      <w:tr w:rsidR="00D545B5" w:rsidRPr="00606EF4" w:rsidTr="00C8314F">
        <w:trPr>
          <w:cantSplit/>
        </w:trPr>
        <w:tc>
          <w:tcPr>
            <w:tcW w:w="13575" w:type="dxa"/>
            <w:gridSpan w:val="11"/>
          </w:tcPr>
          <w:p w:rsidR="00D545B5" w:rsidRPr="00606EF4" w:rsidRDefault="00D545B5" w:rsidP="00B92785">
            <w:pPr>
              <w:spacing w:before="120" w:after="120"/>
              <w:jc w:val="both"/>
              <w:rPr>
                <w:rFonts w:ascii="Times New Roman" w:hAnsi="Times New Roman" w:cs="Times New Roman"/>
                <w:b/>
                <w:sz w:val="24"/>
                <w:szCs w:val="24"/>
              </w:rPr>
            </w:pPr>
            <w:r w:rsidRPr="00606EF4">
              <w:rPr>
                <w:rFonts w:ascii="Times New Roman" w:hAnsi="Times New Roman" w:cs="Times New Roman"/>
                <w:b/>
                <w:sz w:val="24"/>
                <w:szCs w:val="24"/>
              </w:rPr>
              <w:t>Ieņēmumu uzskaite, nodalīšana</w:t>
            </w:r>
          </w:p>
        </w:tc>
      </w:tr>
      <w:tr w:rsidR="00D545B5" w:rsidRPr="003E13F6" w:rsidTr="00C8314F">
        <w:trPr>
          <w:cantSplit/>
        </w:trPr>
        <w:tc>
          <w:tcPr>
            <w:tcW w:w="959" w:type="dxa"/>
            <w:vMerge w:val="restart"/>
          </w:tcPr>
          <w:p w:rsidR="00D545B5" w:rsidRPr="003E13F6" w:rsidRDefault="00D545B5" w:rsidP="00D31146">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D545B5" w:rsidRPr="00AE3169" w:rsidRDefault="00D545B5" w:rsidP="00B92785">
            <w:pPr>
              <w:spacing w:before="120" w:after="120"/>
              <w:jc w:val="both"/>
              <w:rPr>
                <w:rFonts w:ascii="Times New Roman" w:hAnsi="Times New Roman" w:cs="Times New Roman"/>
                <w:sz w:val="16"/>
                <w:szCs w:val="16"/>
              </w:rPr>
            </w:pPr>
            <w:r w:rsidRPr="00AE3169">
              <w:rPr>
                <w:rFonts w:ascii="Times New Roman" w:hAnsi="Times New Roman" w:cs="Times New Roman"/>
                <w:sz w:val="16"/>
                <w:szCs w:val="16"/>
              </w:rPr>
              <w:t>[</w:t>
            </w:r>
            <w:r>
              <w:rPr>
                <w:rFonts w:ascii="Times New Roman" w:hAnsi="Times New Roman" w:cs="Times New Roman"/>
                <w:sz w:val="16"/>
                <w:szCs w:val="16"/>
              </w:rPr>
              <w:t>A</w:t>
            </w:r>
            <w:r w:rsidRPr="00AE3169">
              <w:rPr>
                <w:rFonts w:ascii="Times New Roman" w:hAnsi="Times New Roman" w:cs="Times New Roman"/>
                <w:sz w:val="16"/>
                <w:szCs w:val="16"/>
              </w:rPr>
              <w:t>ttiecināms tikai uz valsts budžeta finansētajām iestādēm]</w:t>
            </w:r>
          </w:p>
          <w:p w:rsidR="00D545B5" w:rsidRDefault="00D545B5" w:rsidP="00B92785">
            <w:pPr>
              <w:spacing w:before="120" w:after="120"/>
              <w:jc w:val="both"/>
              <w:rPr>
                <w:rFonts w:ascii="Times New Roman" w:hAnsi="Times New Roman" w:cs="Times New Roman"/>
                <w:sz w:val="20"/>
                <w:szCs w:val="20"/>
              </w:rPr>
            </w:pPr>
            <w:r>
              <w:rPr>
                <w:rFonts w:ascii="Times New Roman" w:hAnsi="Times New Roman" w:cs="Times New Roman"/>
                <w:sz w:val="20"/>
                <w:szCs w:val="20"/>
              </w:rPr>
              <w:t>Ieņēmumiem</w:t>
            </w:r>
            <w:r w:rsidRPr="003E13F6">
              <w:rPr>
                <w:rFonts w:ascii="Times New Roman" w:hAnsi="Times New Roman" w:cs="Times New Roman"/>
                <w:sz w:val="20"/>
                <w:szCs w:val="20"/>
              </w:rPr>
              <w:t xml:space="preserve"> piešķirts atbilstošs budžeta </w:t>
            </w:r>
            <w:r>
              <w:rPr>
                <w:rFonts w:ascii="Times New Roman" w:hAnsi="Times New Roman" w:cs="Times New Roman"/>
                <w:sz w:val="20"/>
                <w:szCs w:val="20"/>
              </w:rPr>
              <w:t>ieņēmumu</w:t>
            </w:r>
            <w:r w:rsidRPr="003E13F6">
              <w:rPr>
                <w:rFonts w:ascii="Times New Roman" w:hAnsi="Times New Roman" w:cs="Times New Roman"/>
                <w:sz w:val="20"/>
                <w:szCs w:val="20"/>
              </w:rPr>
              <w:t xml:space="preserve"> klasifikācijas kods </w:t>
            </w:r>
          </w:p>
          <w:p w:rsidR="00D545B5" w:rsidRPr="0083464A" w:rsidRDefault="00D545B5" w:rsidP="00DC2A76">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(MK noteikumi Nr. 1032)</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5812" w:type="dxa"/>
            <w:gridSpan w:val="2"/>
          </w:tcPr>
          <w:p w:rsidR="00D545B5" w:rsidRPr="003E13F6" w:rsidRDefault="00D545B5" w:rsidP="000B0D9C">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E4344D" w:rsidRDefault="00D545B5" w:rsidP="00E4344D">
            <w:pPr>
              <w:spacing w:before="120"/>
              <w:ind w:left="360"/>
              <w:rPr>
                <w:rFonts w:ascii="Times New Roman" w:hAnsi="Times New Roman" w:cs="Times New Roman"/>
                <w:sz w:val="20"/>
                <w:szCs w:val="20"/>
              </w:rPr>
            </w:pPr>
          </w:p>
        </w:tc>
        <w:tc>
          <w:tcPr>
            <w:tcW w:w="4678" w:type="dxa"/>
            <w:gridSpan w:val="2"/>
          </w:tcPr>
          <w:p w:rsidR="00D545B5" w:rsidRDefault="00D545B5" w:rsidP="00B92785">
            <w:pPr>
              <w:spacing w:before="120" w:after="120"/>
              <w:jc w:val="both"/>
              <w:rPr>
                <w:rFonts w:ascii="Times New Roman" w:hAnsi="Times New Roman" w:cs="Times New Roman"/>
                <w:sz w:val="20"/>
                <w:szCs w:val="20"/>
              </w:rPr>
            </w:pPr>
            <w:r>
              <w:rPr>
                <w:rFonts w:ascii="Times New Roman" w:hAnsi="Times New Roman" w:cs="Times New Roman"/>
                <w:sz w:val="20"/>
                <w:szCs w:val="20"/>
              </w:rPr>
              <w:t>A</w:t>
            </w:r>
            <w:r w:rsidRPr="00C2289F">
              <w:rPr>
                <w:rFonts w:ascii="Times New Roman" w:hAnsi="Times New Roman" w:cs="Times New Roman"/>
                <w:sz w:val="20"/>
                <w:szCs w:val="20"/>
              </w:rPr>
              <w:t xml:space="preserve">tbilstoši darījuma ekonomiskajai būtībai </w:t>
            </w:r>
            <w:r>
              <w:rPr>
                <w:rFonts w:ascii="Times New Roman" w:hAnsi="Times New Roman" w:cs="Times New Roman"/>
                <w:sz w:val="20"/>
                <w:szCs w:val="20"/>
              </w:rPr>
              <w:t>ieņēmumiem piemērots</w:t>
            </w:r>
            <w:r w:rsidRPr="00C2289F">
              <w:rPr>
                <w:rFonts w:ascii="Times New Roman" w:hAnsi="Times New Roman" w:cs="Times New Roman"/>
                <w:sz w:val="20"/>
                <w:szCs w:val="20"/>
              </w:rPr>
              <w:t xml:space="preserve"> atbilstoš</w:t>
            </w:r>
            <w:r>
              <w:rPr>
                <w:rFonts w:ascii="Times New Roman" w:hAnsi="Times New Roman" w:cs="Times New Roman"/>
                <w:sz w:val="20"/>
                <w:szCs w:val="20"/>
              </w:rPr>
              <w:t>s</w:t>
            </w:r>
            <w:r w:rsidRPr="00C2289F">
              <w:rPr>
                <w:rFonts w:ascii="Times New Roman" w:hAnsi="Times New Roman" w:cs="Times New Roman"/>
                <w:sz w:val="20"/>
                <w:szCs w:val="20"/>
              </w:rPr>
              <w:t xml:space="preserve"> grāmatvedības uzskaites kont</w:t>
            </w:r>
            <w:r>
              <w:rPr>
                <w:rFonts w:ascii="Times New Roman" w:hAnsi="Times New Roman" w:cs="Times New Roman"/>
                <w:sz w:val="20"/>
                <w:szCs w:val="20"/>
              </w:rPr>
              <w:t>s</w:t>
            </w:r>
          </w:p>
          <w:p w:rsidR="00D545B5" w:rsidRPr="0083464A" w:rsidRDefault="00D545B5" w:rsidP="00721FD7">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(MK noteikumi Nr. 1486)</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5812" w:type="dxa"/>
            <w:gridSpan w:val="2"/>
          </w:tcPr>
          <w:p w:rsidR="00D545B5" w:rsidRPr="003E13F6" w:rsidRDefault="00D545B5" w:rsidP="000B0D9C">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E4344D" w:rsidRDefault="00D545B5" w:rsidP="00E4344D">
            <w:pPr>
              <w:spacing w:before="120"/>
              <w:ind w:left="360"/>
              <w:rPr>
                <w:rFonts w:ascii="Times New Roman" w:hAnsi="Times New Roman" w:cs="Times New Roman"/>
                <w:sz w:val="20"/>
                <w:szCs w:val="20"/>
              </w:rPr>
            </w:pPr>
          </w:p>
        </w:tc>
        <w:tc>
          <w:tcPr>
            <w:tcW w:w="4678" w:type="dxa"/>
            <w:gridSpan w:val="2"/>
          </w:tcPr>
          <w:p w:rsidR="00D545B5" w:rsidRDefault="00D545B5" w:rsidP="00B92785">
            <w:pPr>
              <w:spacing w:before="120"/>
              <w:jc w:val="both"/>
              <w:rPr>
                <w:rFonts w:ascii="Times New Roman" w:hAnsi="Times New Roman" w:cs="Times New Roman"/>
                <w:sz w:val="20"/>
                <w:szCs w:val="20"/>
              </w:rPr>
            </w:pPr>
            <w:r w:rsidRPr="003E13F6">
              <w:rPr>
                <w:rFonts w:ascii="Times New Roman" w:hAnsi="Times New Roman" w:cs="Times New Roman"/>
                <w:sz w:val="20"/>
                <w:szCs w:val="20"/>
              </w:rPr>
              <w:t>PO uzskaite</w:t>
            </w:r>
            <w:r>
              <w:rPr>
                <w:rFonts w:ascii="Times New Roman" w:hAnsi="Times New Roman" w:cs="Times New Roman"/>
                <w:sz w:val="20"/>
                <w:szCs w:val="20"/>
              </w:rPr>
              <w:t>s sistēmā tiek piešķirta pazīme</w:t>
            </w:r>
            <w:r w:rsidRPr="003E13F6">
              <w:rPr>
                <w:rFonts w:ascii="Times New Roman" w:hAnsi="Times New Roman" w:cs="Times New Roman"/>
                <w:sz w:val="20"/>
                <w:szCs w:val="20"/>
              </w:rPr>
              <w:t xml:space="preserve"> vai ieņēmumi </w:t>
            </w:r>
            <w:r>
              <w:rPr>
                <w:rFonts w:ascii="Times New Roman" w:hAnsi="Times New Roman" w:cs="Times New Roman"/>
                <w:sz w:val="20"/>
                <w:szCs w:val="20"/>
              </w:rPr>
              <w:t xml:space="preserve">ir </w:t>
            </w:r>
            <w:r w:rsidRPr="003E13F6">
              <w:rPr>
                <w:rFonts w:ascii="Times New Roman" w:hAnsi="Times New Roman" w:cs="Times New Roman"/>
                <w:sz w:val="20"/>
                <w:szCs w:val="20"/>
              </w:rPr>
              <w:t>saistīti ar</w:t>
            </w:r>
            <w:r>
              <w:rPr>
                <w:rFonts w:ascii="Times New Roman" w:hAnsi="Times New Roman" w:cs="Times New Roman"/>
                <w:sz w:val="20"/>
                <w:szCs w:val="20"/>
              </w:rPr>
              <w:t>:</w:t>
            </w:r>
            <w:r w:rsidRPr="003E13F6">
              <w:rPr>
                <w:rFonts w:ascii="Times New Roman" w:hAnsi="Times New Roman" w:cs="Times New Roman"/>
                <w:sz w:val="20"/>
                <w:szCs w:val="20"/>
              </w:rPr>
              <w:t xml:space="preserve"> </w:t>
            </w:r>
          </w:p>
          <w:p w:rsidR="00D545B5" w:rsidRDefault="00D545B5" w:rsidP="00B92785">
            <w:pPr>
              <w:pStyle w:val="ListParagraph"/>
              <w:numPr>
                <w:ilvl w:val="0"/>
                <w:numId w:val="10"/>
              </w:numPr>
              <w:spacing w:after="0" w:line="240" w:lineRule="auto"/>
              <w:ind w:left="459" w:hanging="284"/>
              <w:jc w:val="both"/>
              <w:rPr>
                <w:rFonts w:ascii="Times New Roman" w:hAnsi="Times New Roman" w:cs="Times New Roman"/>
                <w:sz w:val="20"/>
                <w:szCs w:val="20"/>
                <w:lang w:val="lv-LV"/>
              </w:rPr>
            </w:pPr>
            <w:r>
              <w:rPr>
                <w:rFonts w:ascii="Times New Roman" w:hAnsi="Times New Roman" w:cs="Times New Roman"/>
                <w:sz w:val="20"/>
                <w:szCs w:val="20"/>
                <w:lang w:val="lv-LV"/>
              </w:rPr>
              <w:t>N</w:t>
            </w:r>
            <w:r w:rsidRPr="000539AF">
              <w:rPr>
                <w:rFonts w:ascii="Times New Roman" w:hAnsi="Times New Roman" w:cs="Times New Roman"/>
                <w:sz w:val="20"/>
                <w:szCs w:val="20"/>
                <w:lang w:val="lv-LV"/>
              </w:rPr>
              <w:t>esaimniecisko pamatdarbību</w:t>
            </w:r>
            <w:r>
              <w:rPr>
                <w:rFonts w:ascii="Times New Roman" w:hAnsi="Times New Roman" w:cs="Times New Roman"/>
                <w:sz w:val="20"/>
                <w:szCs w:val="20"/>
                <w:lang w:val="lv-LV"/>
              </w:rPr>
              <w:t>;</w:t>
            </w:r>
          </w:p>
          <w:p w:rsidR="00D545B5" w:rsidRDefault="00D545B5" w:rsidP="00B92785">
            <w:pPr>
              <w:pStyle w:val="ListParagraph"/>
              <w:numPr>
                <w:ilvl w:val="0"/>
                <w:numId w:val="10"/>
              </w:numPr>
              <w:spacing w:after="0" w:line="240" w:lineRule="auto"/>
              <w:ind w:left="459" w:hanging="284"/>
              <w:jc w:val="both"/>
              <w:rPr>
                <w:rFonts w:ascii="Times New Roman" w:hAnsi="Times New Roman" w:cs="Times New Roman"/>
                <w:sz w:val="20"/>
                <w:szCs w:val="20"/>
                <w:lang w:val="lv-LV"/>
              </w:rPr>
            </w:pPr>
            <w:r>
              <w:rPr>
                <w:rFonts w:ascii="Times New Roman" w:hAnsi="Times New Roman" w:cs="Times New Roman"/>
                <w:sz w:val="20"/>
                <w:szCs w:val="20"/>
                <w:lang w:val="lv-LV"/>
              </w:rPr>
              <w:t>S</w:t>
            </w:r>
            <w:r w:rsidRPr="000539AF">
              <w:rPr>
                <w:rFonts w:ascii="Times New Roman" w:hAnsi="Times New Roman" w:cs="Times New Roman"/>
                <w:sz w:val="20"/>
                <w:szCs w:val="20"/>
                <w:lang w:val="lv-LV"/>
              </w:rPr>
              <w:t>aimniecisko pamatdarbību</w:t>
            </w:r>
            <w:r>
              <w:rPr>
                <w:rFonts w:ascii="Times New Roman" w:hAnsi="Times New Roman" w:cs="Times New Roman"/>
                <w:sz w:val="20"/>
                <w:szCs w:val="20"/>
                <w:lang w:val="lv-LV"/>
              </w:rPr>
              <w:t>;</w:t>
            </w:r>
          </w:p>
          <w:p w:rsidR="00E47240" w:rsidRDefault="00E47240" w:rsidP="00E47240">
            <w:pPr>
              <w:pStyle w:val="ListParagraph"/>
              <w:numPr>
                <w:ilvl w:val="0"/>
                <w:numId w:val="10"/>
              </w:numPr>
              <w:spacing w:after="0" w:line="240" w:lineRule="auto"/>
              <w:ind w:left="459" w:hanging="284"/>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Kombinēto </w:t>
            </w:r>
            <w:r w:rsidRPr="000539AF">
              <w:rPr>
                <w:rFonts w:ascii="Times New Roman" w:hAnsi="Times New Roman" w:cs="Times New Roman"/>
                <w:sz w:val="20"/>
                <w:szCs w:val="20"/>
                <w:lang w:val="lv-LV"/>
              </w:rPr>
              <w:t>pamatdarbību</w:t>
            </w:r>
            <w:r>
              <w:rPr>
                <w:rFonts w:ascii="Times New Roman" w:hAnsi="Times New Roman" w:cs="Times New Roman"/>
                <w:sz w:val="20"/>
                <w:szCs w:val="20"/>
                <w:lang w:val="lv-LV"/>
              </w:rPr>
              <w:t>;</w:t>
            </w:r>
          </w:p>
          <w:p w:rsidR="00D545B5" w:rsidRDefault="00D545B5" w:rsidP="00B92785">
            <w:pPr>
              <w:pStyle w:val="ListParagraph"/>
              <w:numPr>
                <w:ilvl w:val="0"/>
                <w:numId w:val="10"/>
              </w:numPr>
              <w:spacing w:after="120" w:line="240" w:lineRule="auto"/>
              <w:ind w:left="460" w:hanging="284"/>
              <w:jc w:val="both"/>
              <w:rPr>
                <w:rFonts w:ascii="Times New Roman" w:hAnsi="Times New Roman" w:cs="Times New Roman"/>
                <w:sz w:val="20"/>
                <w:szCs w:val="20"/>
                <w:lang w:val="lv-LV"/>
              </w:rPr>
            </w:pPr>
            <w:r>
              <w:rPr>
                <w:rFonts w:ascii="Times New Roman" w:hAnsi="Times New Roman" w:cs="Times New Roman"/>
                <w:sz w:val="20"/>
                <w:szCs w:val="20"/>
                <w:lang w:val="lv-LV"/>
              </w:rPr>
              <w:t>P</w:t>
            </w:r>
            <w:r w:rsidRPr="000539AF">
              <w:rPr>
                <w:rFonts w:ascii="Times New Roman" w:hAnsi="Times New Roman" w:cs="Times New Roman"/>
                <w:sz w:val="20"/>
                <w:szCs w:val="20"/>
                <w:lang w:val="lv-LV"/>
              </w:rPr>
              <w:t>ārējo</w:t>
            </w:r>
            <w:r w:rsidR="00E47240">
              <w:rPr>
                <w:rFonts w:ascii="Times New Roman" w:hAnsi="Times New Roman" w:cs="Times New Roman"/>
                <w:sz w:val="20"/>
                <w:szCs w:val="20"/>
                <w:lang w:val="lv-LV"/>
              </w:rPr>
              <w:t>/citu</w:t>
            </w:r>
            <w:r w:rsidRPr="000539AF">
              <w:rPr>
                <w:rFonts w:ascii="Times New Roman" w:hAnsi="Times New Roman" w:cs="Times New Roman"/>
                <w:sz w:val="20"/>
                <w:szCs w:val="20"/>
                <w:lang w:val="lv-LV"/>
              </w:rPr>
              <w:t xml:space="preserve"> saimniecisko darbību</w:t>
            </w:r>
            <w:r>
              <w:rPr>
                <w:rFonts w:ascii="Times New Roman" w:hAnsi="Times New Roman" w:cs="Times New Roman"/>
                <w:sz w:val="20"/>
                <w:szCs w:val="20"/>
                <w:lang w:val="lv-LV"/>
              </w:rPr>
              <w:t>.</w:t>
            </w:r>
          </w:p>
          <w:p w:rsidR="00D545B5" w:rsidRPr="0083464A" w:rsidRDefault="00D545B5" w:rsidP="001D63F8">
            <w:pPr>
              <w:spacing w:after="120"/>
              <w:jc w:val="both"/>
              <w:rPr>
                <w:rFonts w:ascii="Times New Roman" w:hAnsi="Times New Roman" w:cs="Times New Roman"/>
                <w:sz w:val="18"/>
                <w:szCs w:val="18"/>
              </w:rPr>
            </w:pPr>
            <w:r>
              <w:rPr>
                <w:rFonts w:ascii="Times New Roman" w:hAnsi="Times New Roman" w:cs="Times New Roman"/>
                <w:sz w:val="20"/>
                <w:szCs w:val="20"/>
              </w:rPr>
              <w:t>(</w:t>
            </w:r>
            <w:r w:rsidRPr="0031159B">
              <w:rPr>
                <w:rFonts w:ascii="Times New Roman" w:hAnsi="Times New Roman" w:cs="Times New Roman"/>
                <w:sz w:val="20"/>
                <w:szCs w:val="20"/>
              </w:rPr>
              <w:t>Nostādnes par valsts atbalstu pētniecībai, attīstībai un inovācijai (2006/C 323/01)</w:t>
            </w:r>
            <w:r>
              <w:rPr>
                <w:rFonts w:ascii="Times New Roman" w:hAnsi="Times New Roman" w:cs="Times New Roman"/>
                <w:sz w:val="20"/>
                <w:szCs w:val="20"/>
              </w:rPr>
              <w:t xml:space="preserve">, PO definīcija) </w:t>
            </w:r>
            <w:r w:rsidRPr="0083464A">
              <w:rPr>
                <w:rFonts w:ascii="Times New Roman" w:hAnsi="Times New Roman" w:cs="Times New Roman"/>
                <w:sz w:val="18"/>
                <w:szCs w:val="18"/>
              </w:rPr>
              <w:t>(Regula Nr. 1083/2006)</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5812" w:type="dxa"/>
            <w:gridSpan w:val="2"/>
          </w:tcPr>
          <w:p w:rsidR="00D545B5" w:rsidRPr="003E13F6" w:rsidRDefault="00D545B5" w:rsidP="000B0D9C">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E4344D" w:rsidRDefault="00D545B5" w:rsidP="00E4344D">
            <w:pPr>
              <w:spacing w:before="120"/>
              <w:ind w:left="360"/>
              <w:rPr>
                <w:rFonts w:ascii="Times New Roman" w:hAnsi="Times New Roman" w:cs="Times New Roman"/>
                <w:sz w:val="20"/>
                <w:szCs w:val="20"/>
              </w:rPr>
            </w:pPr>
          </w:p>
        </w:tc>
        <w:tc>
          <w:tcPr>
            <w:tcW w:w="4678" w:type="dxa"/>
            <w:gridSpan w:val="2"/>
            <w:shd w:val="clear" w:color="auto" w:fill="FFFFFF" w:themeFill="background1"/>
          </w:tcPr>
          <w:p w:rsidR="00D545B5" w:rsidRPr="003E13F6" w:rsidRDefault="00D545B5" w:rsidP="009F452F">
            <w:pPr>
              <w:spacing w:before="120" w:after="120"/>
              <w:jc w:val="both"/>
              <w:rPr>
                <w:rFonts w:ascii="Times New Roman" w:hAnsi="Times New Roman" w:cs="Times New Roman"/>
                <w:sz w:val="20"/>
                <w:szCs w:val="20"/>
              </w:rPr>
            </w:pPr>
            <w:r w:rsidRPr="003E13F6">
              <w:rPr>
                <w:rFonts w:ascii="Times New Roman" w:hAnsi="Times New Roman" w:cs="Times New Roman"/>
                <w:sz w:val="20"/>
                <w:szCs w:val="20"/>
              </w:rPr>
              <w:t xml:space="preserve">PO </w:t>
            </w:r>
            <w:r>
              <w:rPr>
                <w:rFonts w:ascii="Times New Roman" w:hAnsi="Times New Roman" w:cs="Times New Roman"/>
                <w:sz w:val="20"/>
                <w:szCs w:val="20"/>
              </w:rPr>
              <w:t xml:space="preserve">grāmatvedības </w:t>
            </w:r>
            <w:r w:rsidRPr="003E13F6">
              <w:rPr>
                <w:rFonts w:ascii="Times New Roman" w:hAnsi="Times New Roman" w:cs="Times New Roman"/>
                <w:sz w:val="20"/>
                <w:szCs w:val="20"/>
              </w:rPr>
              <w:t>uzskaite</w:t>
            </w:r>
            <w:r>
              <w:rPr>
                <w:rFonts w:ascii="Times New Roman" w:hAnsi="Times New Roman" w:cs="Times New Roman"/>
                <w:sz w:val="20"/>
                <w:szCs w:val="20"/>
              </w:rPr>
              <w:t>s sistēmā tiek piešķirta papildus pazīme/ dimensija/ kods, attiecinot ieņēmumus uz atbilstošu projektu (grantu) vai konkrētu saimnieciskās darbības projektu</w:t>
            </w:r>
          </w:p>
        </w:tc>
        <w:tc>
          <w:tcPr>
            <w:tcW w:w="708"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709" w:type="dxa"/>
            <w:gridSpan w:val="2"/>
          </w:tcPr>
          <w:p w:rsidR="00D545B5" w:rsidRPr="003E13F6" w:rsidRDefault="00D545B5" w:rsidP="000B0D9C">
            <w:pPr>
              <w:spacing w:before="120"/>
              <w:rPr>
                <w:rFonts w:ascii="Times New Roman" w:hAnsi="Times New Roman" w:cs="Times New Roman"/>
                <w:sz w:val="20"/>
                <w:szCs w:val="20"/>
              </w:rPr>
            </w:pPr>
          </w:p>
        </w:tc>
        <w:tc>
          <w:tcPr>
            <w:tcW w:w="5812" w:type="dxa"/>
            <w:gridSpan w:val="2"/>
          </w:tcPr>
          <w:p w:rsidR="00D545B5" w:rsidRPr="003E13F6" w:rsidRDefault="00D545B5" w:rsidP="009F452F">
            <w:pPr>
              <w:spacing w:before="120"/>
              <w:rPr>
                <w:rFonts w:ascii="Times New Roman" w:hAnsi="Times New Roman" w:cs="Times New Roman"/>
                <w:sz w:val="20"/>
                <w:szCs w:val="20"/>
              </w:rPr>
            </w:pPr>
          </w:p>
        </w:tc>
      </w:tr>
      <w:tr w:rsidR="00DA2033" w:rsidRPr="00DA2033" w:rsidTr="00C8314F">
        <w:trPr>
          <w:cantSplit/>
        </w:trPr>
        <w:tc>
          <w:tcPr>
            <w:tcW w:w="13575" w:type="dxa"/>
            <w:gridSpan w:val="11"/>
          </w:tcPr>
          <w:p w:rsidR="00DA2033" w:rsidRPr="00DA2033" w:rsidRDefault="00DA2033" w:rsidP="00DA2033">
            <w:pPr>
              <w:spacing w:before="120" w:after="120"/>
              <w:jc w:val="both"/>
              <w:rPr>
                <w:rFonts w:ascii="Times New Roman" w:hAnsi="Times New Roman" w:cs="Times New Roman"/>
                <w:b/>
                <w:sz w:val="24"/>
                <w:szCs w:val="24"/>
              </w:rPr>
            </w:pPr>
            <w:r>
              <w:rPr>
                <w:rFonts w:ascii="Times New Roman" w:hAnsi="Times New Roman" w:cs="Times New Roman"/>
                <w:b/>
                <w:sz w:val="24"/>
                <w:szCs w:val="24"/>
              </w:rPr>
              <w:t>Honorāru ieņēmumu pārbaude</w:t>
            </w:r>
          </w:p>
        </w:tc>
      </w:tr>
      <w:tr w:rsidR="00DA2033" w:rsidRPr="003E13F6" w:rsidTr="00C8314F">
        <w:trPr>
          <w:cantSplit/>
        </w:trPr>
        <w:tc>
          <w:tcPr>
            <w:tcW w:w="959" w:type="dxa"/>
          </w:tcPr>
          <w:p w:rsidR="00DA2033" w:rsidRPr="003E13F6" w:rsidRDefault="00DA2033" w:rsidP="00D31146">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DA2033" w:rsidRDefault="00767A66" w:rsidP="00767A66">
            <w:pPr>
              <w:spacing w:before="120" w:after="120"/>
              <w:jc w:val="both"/>
              <w:rPr>
                <w:rFonts w:ascii="Times New Roman" w:hAnsi="Times New Roman" w:cs="Times New Roman"/>
                <w:sz w:val="20"/>
                <w:szCs w:val="20"/>
              </w:rPr>
            </w:pPr>
            <w:r>
              <w:rPr>
                <w:rFonts w:ascii="Times New Roman" w:hAnsi="Times New Roman" w:cs="Times New Roman"/>
                <w:sz w:val="20"/>
                <w:szCs w:val="20"/>
              </w:rPr>
              <w:t>Honorāru ieņēmumiem ir veiktas visas nepieciešamās korekcijas struktūrfondu projektu gadījumā</w:t>
            </w:r>
          </w:p>
        </w:tc>
        <w:tc>
          <w:tcPr>
            <w:tcW w:w="708" w:type="dxa"/>
            <w:gridSpan w:val="2"/>
          </w:tcPr>
          <w:p w:rsidR="00DA2033" w:rsidRPr="003E13F6" w:rsidRDefault="00DA2033" w:rsidP="000706C0">
            <w:pPr>
              <w:spacing w:before="120"/>
              <w:rPr>
                <w:rFonts w:ascii="Times New Roman" w:hAnsi="Times New Roman" w:cs="Times New Roman"/>
                <w:sz w:val="20"/>
                <w:szCs w:val="20"/>
              </w:rPr>
            </w:pPr>
          </w:p>
        </w:tc>
        <w:tc>
          <w:tcPr>
            <w:tcW w:w="709" w:type="dxa"/>
            <w:gridSpan w:val="2"/>
          </w:tcPr>
          <w:p w:rsidR="00DA2033" w:rsidRPr="003E13F6" w:rsidRDefault="00DA2033" w:rsidP="000706C0">
            <w:pPr>
              <w:spacing w:before="120"/>
              <w:rPr>
                <w:rFonts w:ascii="Times New Roman" w:hAnsi="Times New Roman" w:cs="Times New Roman"/>
                <w:sz w:val="20"/>
                <w:szCs w:val="20"/>
              </w:rPr>
            </w:pPr>
          </w:p>
        </w:tc>
        <w:tc>
          <w:tcPr>
            <w:tcW w:w="709" w:type="dxa"/>
            <w:gridSpan w:val="2"/>
          </w:tcPr>
          <w:p w:rsidR="00DA2033" w:rsidRPr="003E13F6" w:rsidRDefault="00DA2033" w:rsidP="003F1E11">
            <w:pPr>
              <w:spacing w:before="120"/>
              <w:rPr>
                <w:rFonts w:ascii="Times New Roman" w:hAnsi="Times New Roman" w:cs="Times New Roman"/>
                <w:sz w:val="20"/>
                <w:szCs w:val="20"/>
              </w:rPr>
            </w:pPr>
          </w:p>
        </w:tc>
        <w:tc>
          <w:tcPr>
            <w:tcW w:w="5812" w:type="dxa"/>
            <w:gridSpan w:val="2"/>
          </w:tcPr>
          <w:p w:rsidR="00DA2033" w:rsidRPr="003E13F6" w:rsidRDefault="00DA2033" w:rsidP="003F1E11">
            <w:pPr>
              <w:spacing w:before="120"/>
              <w:rPr>
                <w:rFonts w:ascii="Times New Roman" w:hAnsi="Times New Roman" w:cs="Times New Roman"/>
                <w:sz w:val="20"/>
                <w:szCs w:val="20"/>
              </w:rPr>
            </w:pPr>
          </w:p>
        </w:tc>
      </w:tr>
      <w:tr w:rsidR="00DA2033" w:rsidRPr="003E13F6" w:rsidTr="00C8314F">
        <w:trPr>
          <w:cantSplit/>
        </w:trPr>
        <w:tc>
          <w:tcPr>
            <w:tcW w:w="13575" w:type="dxa"/>
            <w:gridSpan w:val="11"/>
          </w:tcPr>
          <w:p w:rsidR="00DA2033" w:rsidRPr="003E13F6" w:rsidRDefault="00DA2033" w:rsidP="00C13946">
            <w:pPr>
              <w:spacing w:before="120" w:after="120"/>
              <w:jc w:val="both"/>
              <w:rPr>
                <w:rFonts w:ascii="Times New Roman" w:hAnsi="Times New Roman" w:cs="Times New Roman"/>
                <w:sz w:val="20"/>
                <w:szCs w:val="20"/>
              </w:rPr>
            </w:pPr>
            <w:r>
              <w:br w:type="page"/>
            </w:r>
            <w:r w:rsidRPr="001E4C12">
              <w:rPr>
                <w:rFonts w:ascii="Times New Roman" w:hAnsi="Times New Roman" w:cs="Times New Roman"/>
                <w:b/>
                <w:sz w:val="24"/>
                <w:szCs w:val="24"/>
              </w:rPr>
              <w:t>Nesaimnieciskās pamatdarbības ieņēmumi</w:t>
            </w:r>
          </w:p>
        </w:tc>
      </w:tr>
      <w:tr w:rsidR="00D545B5" w:rsidRPr="003E13F6" w:rsidTr="00C8314F">
        <w:trPr>
          <w:cantSplit/>
        </w:trPr>
        <w:tc>
          <w:tcPr>
            <w:tcW w:w="959" w:type="dxa"/>
            <w:vMerge w:val="restart"/>
          </w:tcPr>
          <w:p w:rsidR="00D545B5" w:rsidRPr="003E13F6" w:rsidRDefault="00D545B5" w:rsidP="00D31146">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D545B5" w:rsidRPr="003E13F6" w:rsidRDefault="00D545B5" w:rsidP="002C05A3">
            <w:pPr>
              <w:spacing w:before="120" w:after="120"/>
              <w:jc w:val="both"/>
              <w:rPr>
                <w:rFonts w:ascii="Times New Roman" w:hAnsi="Times New Roman" w:cs="Times New Roman"/>
                <w:sz w:val="20"/>
                <w:szCs w:val="20"/>
              </w:rPr>
            </w:pPr>
            <w:r>
              <w:rPr>
                <w:rFonts w:ascii="Times New Roman" w:hAnsi="Times New Roman" w:cs="Times New Roman"/>
                <w:sz w:val="20"/>
                <w:szCs w:val="20"/>
              </w:rPr>
              <w:t>PO</w:t>
            </w:r>
            <w:r w:rsidRPr="003E13F6">
              <w:rPr>
                <w:rFonts w:ascii="Times New Roman" w:hAnsi="Times New Roman" w:cs="Times New Roman"/>
                <w:sz w:val="20"/>
                <w:szCs w:val="20"/>
              </w:rPr>
              <w:t xml:space="preserve"> vismaz reizi gadā analizē savus nesaimnieciskās darbības un saimnieciskās darbības ieņēmumus un ar to gūšanu saistītās izmaksas</w:t>
            </w:r>
            <w:r>
              <w:rPr>
                <w:rFonts w:ascii="Times New Roman" w:hAnsi="Times New Roman" w:cs="Times New Roman"/>
                <w:sz w:val="20"/>
                <w:szCs w:val="20"/>
              </w:rPr>
              <w:t xml:space="preserve">, lai nepieciešamības gadījumā varētu veikt korekcijas. </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E13F6" w:rsidRDefault="00D545B5" w:rsidP="003F1E11">
            <w:pPr>
              <w:spacing w:before="120"/>
              <w:rPr>
                <w:rFonts w:ascii="Times New Roman" w:hAnsi="Times New Roman" w:cs="Times New Roman"/>
                <w:sz w:val="20"/>
                <w:szCs w:val="20"/>
              </w:rPr>
            </w:pPr>
          </w:p>
        </w:tc>
      </w:tr>
      <w:tr w:rsidR="004E6845" w:rsidRPr="003E13F6" w:rsidTr="00C8314F">
        <w:trPr>
          <w:cantSplit/>
        </w:trPr>
        <w:tc>
          <w:tcPr>
            <w:tcW w:w="959" w:type="dxa"/>
            <w:vMerge/>
          </w:tcPr>
          <w:p w:rsidR="004E6845" w:rsidRPr="0025281B" w:rsidRDefault="004E6845" w:rsidP="0025281B">
            <w:pPr>
              <w:spacing w:before="120"/>
              <w:ind w:left="360"/>
              <w:rPr>
                <w:rFonts w:ascii="Times New Roman" w:hAnsi="Times New Roman" w:cs="Times New Roman"/>
                <w:sz w:val="20"/>
                <w:szCs w:val="20"/>
              </w:rPr>
            </w:pPr>
          </w:p>
        </w:tc>
        <w:tc>
          <w:tcPr>
            <w:tcW w:w="4678" w:type="dxa"/>
            <w:gridSpan w:val="2"/>
          </w:tcPr>
          <w:p w:rsidR="004E6845" w:rsidRPr="003E13F6" w:rsidRDefault="004E6845" w:rsidP="00BF4378">
            <w:pPr>
              <w:spacing w:before="120"/>
              <w:jc w:val="both"/>
              <w:rPr>
                <w:rFonts w:ascii="Times New Roman" w:hAnsi="Times New Roman" w:cs="Times New Roman"/>
                <w:sz w:val="20"/>
                <w:szCs w:val="20"/>
              </w:rPr>
            </w:pPr>
            <w:r>
              <w:rPr>
                <w:rFonts w:ascii="Times New Roman" w:hAnsi="Times New Roman" w:cs="Times New Roman"/>
                <w:sz w:val="20"/>
                <w:szCs w:val="20"/>
              </w:rPr>
              <w:t>Kontrole par ikgadējo nesaimnieciskās darbības analīzi ir atrunāta (definēta) grāmatvedības politikā.</w:t>
            </w:r>
          </w:p>
        </w:tc>
        <w:tc>
          <w:tcPr>
            <w:tcW w:w="708" w:type="dxa"/>
            <w:gridSpan w:val="2"/>
          </w:tcPr>
          <w:p w:rsidR="004E6845" w:rsidRPr="003E13F6" w:rsidRDefault="004E6845" w:rsidP="000706C0">
            <w:pPr>
              <w:spacing w:before="120"/>
              <w:rPr>
                <w:rFonts w:ascii="Times New Roman" w:hAnsi="Times New Roman" w:cs="Times New Roman"/>
                <w:sz w:val="20"/>
                <w:szCs w:val="20"/>
              </w:rPr>
            </w:pPr>
          </w:p>
        </w:tc>
        <w:tc>
          <w:tcPr>
            <w:tcW w:w="709" w:type="dxa"/>
            <w:gridSpan w:val="2"/>
          </w:tcPr>
          <w:p w:rsidR="004E6845" w:rsidRPr="003E13F6" w:rsidRDefault="004E6845" w:rsidP="000706C0">
            <w:pPr>
              <w:spacing w:before="120"/>
              <w:rPr>
                <w:rFonts w:ascii="Times New Roman" w:hAnsi="Times New Roman" w:cs="Times New Roman"/>
                <w:sz w:val="20"/>
                <w:szCs w:val="20"/>
              </w:rPr>
            </w:pPr>
          </w:p>
        </w:tc>
        <w:tc>
          <w:tcPr>
            <w:tcW w:w="709" w:type="dxa"/>
            <w:gridSpan w:val="2"/>
          </w:tcPr>
          <w:p w:rsidR="004E6845" w:rsidRPr="003E13F6" w:rsidRDefault="004E6845" w:rsidP="003F1E11">
            <w:pPr>
              <w:spacing w:before="120"/>
              <w:rPr>
                <w:rFonts w:ascii="Times New Roman" w:hAnsi="Times New Roman" w:cs="Times New Roman"/>
                <w:sz w:val="20"/>
                <w:szCs w:val="20"/>
              </w:rPr>
            </w:pPr>
          </w:p>
        </w:tc>
        <w:tc>
          <w:tcPr>
            <w:tcW w:w="5812" w:type="dxa"/>
            <w:gridSpan w:val="2"/>
          </w:tcPr>
          <w:p w:rsidR="004E6845" w:rsidRPr="003E13F6" w:rsidRDefault="004E6845" w:rsidP="003F1E11">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25281B" w:rsidRDefault="00D545B5" w:rsidP="0025281B">
            <w:pPr>
              <w:spacing w:before="120"/>
              <w:ind w:left="360"/>
              <w:rPr>
                <w:rFonts w:ascii="Times New Roman" w:hAnsi="Times New Roman" w:cs="Times New Roman"/>
                <w:sz w:val="20"/>
                <w:szCs w:val="20"/>
              </w:rPr>
            </w:pPr>
          </w:p>
        </w:tc>
        <w:tc>
          <w:tcPr>
            <w:tcW w:w="4678" w:type="dxa"/>
            <w:gridSpan w:val="2"/>
          </w:tcPr>
          <w:p w:rsidR="00D545B5" w:rsidRDefault="00D545B5" w:rsidP="00BF4378">
            <w:pPr>
              <w:spacing w:before="120"/>
              <w:jc w:val="both"/>
              <w:rPr>
                <w:rFonts w:ascii="Times New Roman" w:hAnsi="Times New Roman" w:cs="Times New Roman"/>
                <w:sz w:val="20"/>
                <w:szCs w:val="20"/>
              </w:rPr>
            </w:pPr>
            <w:r w:rsidRPr="003E13F6">
              <w:rPr>
                <w:rFonts w:ascii="Times New Roman" w:hAnsi="Times New Roman" w:cs="Times New Roman"/>
                <w:sz w:val="20"/>
                <w:szCs w:val="20"/>
              </w:rPr>
              <w:t xml:space="preserve">PO uzrauga un analizē </w:t>
            </w:r>
            <w:r w:rsidRPr="003F1E11">
              <w:rPr>
                <w:rFonts w:ascii="Times New Roman" w:hAnsi="Times New Roman" w:cs="Times New Roman"/>
                <w:sz w:val="20"/>
                <w:szCs w:val="20"/>
                <w:u w:val="single"/>
              </w:rPr>
              <w:t xml:space="preserve">nesaimnieciskās </w:t>
            </w:r>
            <w:r w:rsidRPr="00504817">
              <w:rPr>
                <w:rFonts w:ascii="Times New Roman" w:hAnsi="Times New Roman" w:cs="Times New Roman"/>
                <w:sz w:val="20"/>
                <w:szCs w:val="20"/>
              </w:rPr>
              <w:t>pamatdarbības ieņēmumus</w:t>
            </w:r>
            <w:r w:rsidRPr="003E13F6">
              <w:rPr>
                <w:rFonts w:ascii="Times New Roman" w:hAnsi="Times New Roman" w:cs="Times New Roman"/>
                <w:sz w:val="20"/>
                <w:szCs w:val="20"/>
              </w:rPr>
              <w:t xml:space="preserve"> </w:t>
            </w:r>
            <w:r>
              <w:rPr>
                <w:rFonts w:ascii="Times New Roman" w:hAnsi="Times New Roman" w:cs="Times New Roman"/>
                <w:sz w:val="20"/>
                <w:szCs w:val="20"/>
              </w:rPr>
              <w:t>projektos</w:t>
            </w:r>
            <w:r w:rsidRPr="003E13F6">
              <w:rPr>
                <w:rFonts w:ascii="Times New Roman" w:hAnsi="Times New Roman" w:cs="Times New Roman"/>
                <w:sz w:val="20"/>
                <w:szCs w:val="20"/>
              </w:rPr>
              <w:t>, ko</w:t>
            </w:r>
            <w:r>
              <w:rPr>
                <w:rFonts w:ascii="Times New Roman" w:hAnsi="Times New Roman" w:cs="Times New Roman"/>
                <w:sz w:val="20"/>
                <w:szCs w:val="20"/>
              </w:rPr>
              <w:t>:</w:t>
            </w:r>
            <w:r w:rsidRPr="003E13F6">
              <w:rPr>
                <w:rFonts w:ascii="Times New Roman" w:hAnsi="Times New Roman" w:cs="Times New Roman"/>
                <w:sz w:val="20"/>
                <w:szCs w:val="20"/>
              </w:rPr>
              <w:t xml:space="preserve"> </w:t>
            </w:r>
          </w:p>
          <w:p w:rsidR="00D545B5" w:rsidRDefault="00D545B5" w:rsidP="00BF4378">
            <w:pPr>
              <w:pStyle w:val="ListParagraph"/>
              <w:numPr>
                <w:ilvl w:val="0"/>
                <w:numId w:val="10"/>
              </w:numPr>
              <w:spacing w:after="0" w:line="240" w:lineRule="auto"/>
              <w:ind w:left="459" w:hanging="284"/>
              <w:jc w:val="both"/>
              <w:rPr>
                <w:rFonts w:ascii="Times New Roman" w:hAnsi="Times New Roman" w:cs="Times New Roman"/>
                <w:sz w:val="20"/>
                <w:szCs w:val="20"/>
                <w:lang w:val="lv-LV"/>
              </w:rPr>
            </w:pPr>
            <w:r>
              <w:rPr>
                <w:rFonts w:ascii="Times New Roman" w:hAnsi="Times New Roman" w:cs="Times New Roman"/>
                <w:sz w:val="20"/>
                <w:szCs w:val="20"/>
                <w:lang w:val="lv-LV"/>
              </w:rPr>
              <w:t>L</w:t>
            </w:r>
            <w:r w:rsidRPr="007B5DB6">
              <w:rPr>
                <w:rFonts w:ascii="Times New Roman" w:hAnsi="Times New Roman" w:cs="Times New Roman"/>
                <w:sz w:val="20"/>
                <w:szCs w:val="20"/>
                <w:lang w:val="lv-LV"/>
              </w:rPr>
              <w:t>īdzfinansē ERAF vai Kohēzijas fonds</w:t>
            </w:r>
            <w:r>
              <w:rPr>
                <w:rFonts w:ascii="Times New Roman" w:hAnsi="Times New Roman" w:cs="Times New Roman"/>
                <w:sz w:val="20"/>
                <w:szCs w:val="20"/>
                <w:lang w:val="lv-LV"/>
              </w:rPr>
              <w:t>;</w:t>
            </w:r>
          </w:p>
          <w:p w:rsidR="00D545B5" w:rsidRDefault="00D545B5" w:rsidP="00BF4378">
            <w:pPr>
              <w:pStyle w:val="ListParagraph"/>
              <w:numPr>
                <w:ilvl w:val="0"/>
                <w:numId w:val="10"/>
              </w:numPr>
              <w:spacing w:after="0" w:line="240" w:lineRule="auto"/>
              <w:ind w:left="459" w:hanging="284"/>
              <w:jc w:val="both"/>
              <w:rPr>
                <w:rFonts w:ascii="Times New Roman" w:hAnsi="Times New Roman" w:cs="Times New Roman"/>
                <w:sz w:val="20"/>
                <w:szCs w:val="20"/>
                <w:lang w:val="lv-LV"/>
              </w:rPr>
            </w:pPr>
            <w:r>
              <w:rPr>
                <w:rFonts w:ascii="Times New Roman" w:hAnsi="Times New Roman" w:cs="Times New Roman"/>
                <w:sz w:val="20"/>
                <w:szCs w:val="20"/>
                <w:lang w:val="lv-LV"/>
              </w:rPr>
              <w:t>K</w:t>
            </w:r>
            <w:r w:rsidRPr="007B5DB6">
              <w:rPr>
                <w:rFonts w:ascii="Times New Roman" w:hAnsi="Times New Roman" w:cs="Times New Roman"/>
                <w:sz w:val="20"/>
                <w:szCs w:val="20"/>
                <w:lang w:val="lv-LV"/>
              </w:rPr>
              <w:t>uru kopējās izmaksas ir lielākas par 1 miljonu eiro</w:t>
            </w:r>
            <w:r>
              <w:rPr>
                <w:rFonts w:ascii="Times New Roman" w:hAnsi="Times New Roman" w:cs="Times New Roman"/>
                <w:sz w:val="20"/>
                <w:szCs w:val="20"/>
                <w:lang w:val="lv-LV"/>
              </w:rPr>
              <w:t>;</w:t>
            </w:r>
          </w:p>
          <w:p w:rsidR="00D545B5" w:rsidRDefault="00D545B5" w:rsidP="00BF4378">
            <w:pPr>
              <w:pStyle w:val="ListParagraph"/>
              <w:numPr>
                <w:ilvl w:val="0"/>
                <w:numId w:val="10"/>
              </w:numPr>
              <w:spacing w:after="0" w:line="240" w:lineRule="auto"/>
              <w:ind w:left="459" w:hanging="284"/>
              <w:jc w:val="both"/>
              <w:rPr>
                <w:rFonts w:ascii="Times New Roman" w:hAnsi="Times New Roman" w:cs="Times New Roman"/>
                <w:sz w:val="20"/>
                <w:szCs w:val="20"/>
                <w:lang w:val="lv-LV"/>
              </w:rPr>
            </w:pPr>
            <w:r>
              <w:rPr>
                <w:rFonts w:ascii="Times New Roman" w:hAnsi="Times New Roman" w:cs="Times New Roman"/>
                <w:sz w:val="20"/>
                <w:szCs w:val="20"/>
                <w:lang w:val="lv-LV"/>
              </w:rPr>
              <w:t>K</w:t>
            </w:r>
            <w:r w:rsidRPr="003E51D8">
              <w:rPr>
                <w:rFonts w:ascii="Times New Roman" w:hAnsi="Times New Roman" w:cs="Times New Roman"/>
                <w:sz w:val="20"/>
                <w:szCs w:val="20"/>
                <w:lang w:val="lv-LV"/>
              </w:rPr>
              <w:t xml:space="preserve">uriem projektā </w:t>
            </w:r>
            <w:r>
              <w:rPr>
                <w:rFonts w:ascii="Times New Roman" w:hAnsi="Times New Roman" w:cs="Times New Roman"/>
                <w:sz w:val="20"/>
                <w:szCs w:val="20"/>
                <w:lang w:val="lv-LV"/>
              </w:rPr>
              <w:t xml:space="preserve">sākotnēji </w:t>
            </w:r>
            <w:r w:rsidRPr="007B5DB6">
              <w:rPr>
                <w:rFonts w:ascii="Times New Roman" w:hAnsi="Times New Roman" w:cs="Times New Roman"/>
                <w:sz w:val="20"/>
                <w:szCs w:val="20"/>
                <w:lang w:val="lv-LV"/>
              </w:rPr>
              <w:t>nebija paredzēti ieņēmumi</w:t>
            </w:r>
            <w:r>
              <w:rPr>
                <w:rFonts w:ascii="Times New Roman" w:hAnsi="Times New Roman" w:cs="Times New Roman"/>
                <w:sz w:val="20"/>
                <w:szCs w:val="20"/>
                <w:lang w:val="lv-LV"/>
              </w:rPr>
              <w:t>.</w:t>
            </w:r>
          </w:p>
          <w:p w:rsidR="00D545B5" w:rsidRPr="007B5DB6" w:rsidRDefault="00D545B5" w:rsidP="00BF4378">
            <w:pPr>
              <w:jc w:val="both"/>
              <w:rPr>
                <w:rFonts w:ascii="Times New Roman" w:hAnsi="Times New Roman" w:cs="Times New Roman"/>
                <w:sz w:val="20"/>
                <w:szCs w:val="20"/>
              </w:rPr>
            </w:pPr>
            <w:r w:rsidRPr="003E51D8">
              <w:rPr>
                <w:rFonts w:ascii="Times New Roman" w:hAnsi="Times New Roman" w:cs="Times New Roman"/>
                <w:sz w:val="20"/>
                <w:szCs w:val="20"/>
              </w:rPr>
              <w:t xml:space="preserve">uzskaites sistēmai jānodrošina iespēja noteikt, </w:t>
            </w:r>
            <w:r w:rsidRPr="007B5DB6">
              <w:rPr>
                <w:rFonts w:ascii="Times New Roman" w:hAnsi="Times New Roman" w:cs="Times New Roman"/>
                <w:sz w:val="20"/>
                <w:szCs w:val="20"/>
              </w:rPr>
              <w:t>cik lieli ieņēmumi tiek gūti ar konkrēto infrastruktūras objektu</w:t>
            </w:r>
            <w:r>
              <w:rPr>
                <w:rFonts w:ascii="Times New Roman" w:hAnsi="Times New Roman" w:cs="Times New Roman"/>
                <w:sz w:val="20"/>
                <w:szCs w:val="20"/>
              </w:rPr>
              <w:t>.</w:t>
            </w:r>
          </w:p>
          <w:p w:rsidR="00D545B5" w:rsidRPr="003E13F6" w:rsidRDefault="00D545B5" w:rsidP="00530521">
            <w:pPr>
              <w:spacing w:before="120" w:after="120"/>
              <w:jc w:val="both"/>
              <w:rPr>
                <w:rFonts w:ascii="Times New Roman" w:hAnsi="Times New Roman" w:cs="Times New Roman"/>
                <w:sz w:val="20"/>
                <w:szCs w:val="20"/>
              </w:rPr>
            </w:pPr>
            <w:r w:rsidRPr="00A85E51">
              <w:rPr>
                <w:rFonts w:ascii="Times New Roman" w:hAnsi="Times New Roman" w:cs="Times New Roman"/>
                <w:sz w:val="18"/>
                <w:szCs w:val="18"/>
              </w:rPr>
              <w:t>[Regulas Nr.1083/2006 55.panta 5.punkt</w:t>
            </w:r>
            <w:r>
              <w:rPr>
                <w:rFonts w:ascii="Times New Roman" w:hAnsi="Times New Roman" w:cs="Times New Roman"/>
                <w:sz w:val="18"/>
                <w:szCs w:val="18"/>
              </w:rPr>
              <w:t>s</w:t>
            </w:r>
            <w:r w:rsidRPr="00A85E51">
              <w:rPr>
                <w:rFonts w:ascii="Times New Roman" w:hAnsi="Times New Roman" w:cs="Times New Roman"/>
                <w:sz w:val="18"/>
                <w:szCs w:val="18"/>
              </w:rPr>
              <w:t>]</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E13F6" w:rsidRDefault="00D545B5" w:rsidP="003F1E11">
            <w:pPr>
              <w:spacing w:before="120"/>
              <w:rPr>
                <w:rFonts w:ascii="Times New Roman" w:hAnsi="Times New Roman" w:cs="Times New Roman"/>
                <w:sz w:val="20"/>
                <w:szCs w:val="20"/>
              </w:rPr>
            </w:pPr>
          </w:p>
        </w:tc>
      </w:tr>
      <w:tr w:rsidR="00D545B5" w:rsidRPr="003E13F6" w:rsidTr="00C8314F">
        <w:trPr>
          <w:cantSplit/>
        </w:trPr>
        <w:tc>
          <w:tcPr>
            <w:tcW w:w="959" w:type="dxa"/>
            <w:vMerge/>
          </w:tcPr>
          <w:p w:rsidR="00D545B5" w:rsidRPr="0025281B" w:rsidRDefault="00D545B5" w:rsidP="0025281B">
            <w:pPr>
              <w:spacing w:before="120"/>
              <w:ind w:left="360"/>
              <w:rPr>
                <w:rFonts w:ascii="Times New Roman" w:hAnsi="Times New Roman" w:cs="Times New Roman"/>
                <w:sz w:val="20"/>
                <w:szCs w:val="20"/>
              </w:rPr>
            </w:pPr>
          </w:p>
        </w:tc>
        <w:tc>
          <w:tcPr>
            <w:tcW w:w="4678" w:type="dxa"/>
            <w:gridSpan w:val="2"/>
          </w:tcPr>
          <w:p w:rsidR="00D545B5" w:rsidRDefault="00D545B5" w:rsidP="001C5CA8">
            <w:pPr>
              <w:spacing w:before="120" w:after="120"/>
              <w:jc w:val="both"/>
              <w:rPr>
                <w:rFonts w:ascii="Times New Roman" w:hAnsi="Times New Roman" w:cs="Times New Roman"/>
                <w:sz w:val="20"/>
                <w:szCs w:val="20"/>
              </w:rPr>
            </w:pPr>
            <w:r w:rsidRPr="003E51D8">
              <w:rPr>
                <w:rFonts w:ascii="Times New Roman" w:hAnsi="Times New Roman" w:cs="Times New Roman"/>
                <w:sz w:val="20"/>
                <w:szCs w:val="20"/>
              </w:rPr>
              <w:t xml:space="preserve">Ja </w:t>
            </w:r>
            <w:r w:rsidRPr="00FC60B3">
              <w:rPr>
                <w:rFonts w:ascii="Times New Roman" w:hAnsi="Times New Roman" w:cs="Times New Roman"/>
                <w:sz w:val="20"/>
                <w:szCs w:val="20"/>
              </w:rPr>
              <w:t>nesaimnieciskās</w:t>
            </w:r>
            <w:r w:rsidRPr="003E51D8">
              <w:rPr>
                <w:rFonts w:ascii="Times New Roman" w:hAnsi="Times New Roman" w:cs="Times New Roman"/>
                <w:sz w:val="20"/>
                <w:szCs w:val="20"/>
              </w:rPr>
              <w:t xml:space="preserve"> pamatdarbības sadaļā esošajā Fondu projektā tiek gūti ieņēmumi </w:t>
            </w:r>
            <w:r>
              <w:rPr>
                <w:rFonts w:ascii="Times New Roman" w:hAnsi="Times New Roman" w:cs="Times New Roman"/>
                <w:sz w:val="20"/>
                <w:szCs w:val="20"/>
              </w:rPr>
              <w:t>piecu</w:t>
            </w:r>
            <w:r w:rsidRPr="00FC60B3">
              <w:rPr>
                <w:rFonts w:ascii="Times New Roman" w:hAnsi="Times New Roman" w:cs="Times New Roman"/>
                <w:sz w:val="20"/>
                <w:szCs w:val="20"/>
              </w:rPr>
              <w:t xml:space="preserve"> gadu</w:t>
            </w:r>
            <w:r w:rsidRPr="003E51D8">
              <w:rPr>
                <w:rFonts w:ascii="Times New Roman" w:hAnsi="Times New Roman" w:cs="Times New Roman"/>
                <w:sz w:val="20"/>
                <w:szCs w:val="20"/>
              </w:rPr>
              <w:t xml:space="preserve"> periodā pēc darbības pabeigšanas, kas nebija iepriekš paredzēti, tad ieņēmum</w:t>
            </w:r>
            <w:r>
              <w:rPr>
                <w:rFonts w:ascii="Times New Roman" w:hAnsi="Times New Roman" w:cs="Times New Roman"/>
                <w:sz w:val="20"/>
                <w:szCs w:val="20"/>
              </w:rPr>
              <w:t>i</w:t>
            </w:r>
            <w:r w:rsidRPr="003E51D8">
              <w:rPr>
                <w:rFonts w:ascii="Times New Roman" w:hAnsi="Times New Roman" w:cs="Times New Roman"/>
                <w:sz w:val="20"/>
                <w:szCs w:val="20"/>
              </w:rPr>
              <w:t xml:space="preserve"> </w:t>
            </w:r>
            <w:r>
              <w:rPr>
                <w:rFonts w:ascii="Times New Roman" w:hAnsi="Times New Roman" w:cs="Times New Roman"/>
                <w:sz w:val="20"/>
                <w:szCs w:val="20"/>
              </w:rPr>
              <w:t xml:space="preserve">ir </w:t>
            </w:r>
            <w:r w:rsidRPr="003E51D8">
              <w:rPr>
                <w:rFonts w:ascii="Times New Roman" w:hAnsi="Times New Roman" w:cs="Times New Roman"/>
                <w:sz w:val="20"/>
                <w:szCs w:val="20"/>
              </w:rPr>
              <w:t>atskait</w:t>
            </w:r>
            <w:r>
              <w:rPr>
                <w:rFonts w:ascii="Times New Roman" w:hAnsi="Times New Roman" w:cs="Times New Roman"/>
                <w:sz w:val="20"/>
                <w:szCs w:val="20"/>
              </w:rPr>
              <w:t>īti</w:t>
            </w:r>
            <w:r w:rsidRPr="003E51D8">
              <w:rPr>
                <w:rFonts w:ascii="Times New Roman" w:hAnsi="Times New Roman" w:cs="Times New Roman"/>
                <w:sz w:val="20"/>
                <w:szCs w:val="20"/>
              </w:rPr>
              <w:t xml:space="preserve"> no Komisijai deklarētajiem izdevumiem. </w:t>
            </w:r>
          </w:p>
          <w:p w:rsidR="00D545B5" w:rsidRPr="003E13F6" w:rsidRDefault="00D545B5" w:rsidP="0083464A">
            <w:pPr>
              <w:spacing w:before="120" w:after="120"/>
              <w:jc w:val="both"/>
              <w:rPr>
                <w:rFonts w:ascii="Times New Roman" w:hAnsi="Times New Roman" w:cs="Times New Roman"/>
                <w:sz w:val="20"/>
                <w:szCs w:val="20"/>
              </w:rPr>
            </w:pPr>
            <w:r w:rsidRPr="00300D98">
              <w:rPr>
                <w:rFonts w:ascii="Times New Roman" w:hAnsi="Times New Roman" w:cs="Times New Roman"/>
                <w:sz w:val="18"/>
                <w:szCs w:val="18"/>
              </w:rPr>
              <w:t>[Korekcijas saskaņā ar regulas Nr.1083/2006 55.pant</w:t>
            </w:r>
            <w:r>
              <w:rPr>
                <w:rFonts w:ascii="Times New Roman" w:hAnsi="Times New Roman" w:cs="Times New Roman"/>
                <w:sz w:val="18"/>
                <w:szCs w:val="18"/>
              </w:rPr>
              <w:t>a 3.punktu</w:t>
            </w:r>
            <w:r w:rsidRPr="00300D98">
              <w:rPr>
                <w:rFonts w:ascii="Times New Roman" w:hAnsi="Times New Roman" w:cs="Times New Roman"/>
                <w:sz w:val="18"/>
                <w:szCs w:val="18"/>
              </w:rPr>
              <w:t>]</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E13F6" w:rsidRDefault="00D545B5" w:rsidP="003F1E11">
            <w:pPr>
              <w:spacing w:before="120"/>
              <w:rPr>
                <w:rFonts w:ascii="Times New Roman" w:hAnsi="Times New Roman" w:cs="Times New Roman"/>
                <w:sz w:val="20"/>
                <w:szCs w:val="20"/>
              </w:rPr>
            </w:pPr>
          </w:p>
        </w:tc>
      </w:tr>
      <w:tr w:rsidR="00D545B5" w:rsidRPr="003E13F6" w:rsidTr="00C8314F">
        <w:trPr>
          <w:cantSplit/>
        </w:trPr>
        <w:tc>
          <w:tcPr>
            <w:tcW w:w="13575" w:type="dxa"/>
            <w:gridSpan w:val="11"/>
          </w:tcPr>
          <w:p w:rsidR="00D545B5" w:rsidRPr="003935DE" w:rsidRDefault="00D545B5" w:rsidP="00BA398E">
            <w:pPr>
              <w:spacing w:before="120" w:after="120"/>
              <w:jc w:val="both"/>
              <w:rPr>
                <w:rFonts w:ascii="Times New Roman" w:hAnsi="Times New Roman" w:cs="Times New Roman"/>
                <w:color w:val="FF0000"/>
                <w:sz w:val="20"/>
                <w:szCs w:val="20"/>
              </w:rPr>
            </w:pPr>
            <w:r w:rsidRPr="00DE5D92">
              <w:rPr>
                <w:rFonts w:ascii="Times New Roman" w:hAnsi="Times New Roman" w:cs="Times New Roman"/>
                <w:b/>
                <w:sz w:val="24"/>
                <w:szCs w:val="24"/>
              </w:rPr>
              <w:t>Tirgus cena</w:t>
            </w:r>
            <w:r>
              <w:rPr>
                <w:rFonts w:ascii="Times New Roman" w:hAnsi="Times New Roman" w:cs="Times New Roman"/>
                <w:b/>
                <w:sz w:val="24"/>
                <w:szCs w:val="24"/>
              </w:rPr>
              <w:t xml:space="preserve">, </w:t>
            </w:r>
            <w:r w:rsidRPr="00562D36">
              <w:rPr>
                <w:rFonts w:ascii="Times New Roman" w:hAnsi="Times New Roman" w:cs="Times New Roman"/>
                <w:b/>
                <w:sz w:val="24"/>
                <w:szCs w:val="24"/>
              </w:rPr>
              <w:br w:type="page"/>
              <w:t xml:space="preserve">peļņas apmērs, </w:t>
            </w:r>
            <w:r>
              <w:rPr>
                <w:rFonts w:ascii="Times New Roman" w:hAnsi="Times New Roman" w:cs="Times New Roman"/>
                <w:b/>
                <w:sz w:val="24"/>
                <w:szCs w:val="24"/>
              </w:rPr>
              <w:t>t</w:t>
            </w:r>
            <w:r w:rsidRPr="006B4F69">
              <w:rPr>
                <w:rFonts w:ascii="Times New Roman" w:hAnsi="Times New Roman" w:cs="Times New Roman"/>
                <w:b/>
                <w:sz w:val="24"/>
                <w:szCs w:val="24"/>
              </w:rPr>
              <w:t>irgus kropļošanas risks</w:t>
            </w:r>
          </w:p>
        </w:tc>
      </w:tr>
      <w:tr w:rsidR="00D545B5" w:rsidRPr="003E13F6" w:rsidTr="00C8314F">
        <w:trPr>
          <w:cantSplit/>
        </w:trPr>
        <w:tc>
          <w:tcPr>
            <w:tcW w:w="959" w:type="dxa"/>
            <w:vMerge w:val="restart"/>
          </w:tcPr>
          <w:p w:rsidR="00D545B5" w:rsidRPr="003E13F6" w:rsidRDefault="00D545B5" w:rsidP="00D31146">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D545B5" w:rsidRDefault="00BA5F83" w:rsidP="0083464A">
            <w:pPr>
              <w:spacing w:before="120" w:after="120"/>
              <w:jc w:val="both"/>
              <w:rPr>
                <w:rFonts w:ascii="Times New Roman" w:hAnsi="Times New Roman" w:cs="Times New Roman"/>
                <w:sz w:val="20"/>
                <w:szCs w:val="20"/>
              </w:rPr>
            </w:pPr>
            <w:r>
              <w:rPr>
                <w:rFonts w:ascii="Times New Roman" w:hAnsi="Times New Roman" w:cs="Times New Roman"/>
                <w:sz w:val="20"/>
                <w:szCs w:val="20"/>
              </w:rPr>
              <w:t>P</w:t>
            </w:r>
            <w:r w:rsidR="00D545B5" w:rsidRPr="00A00DFF">
              <w:rPr>
                <w:rFonts w:ascii="Times New Roman" w:hAnsi="Times New Roman" w:cs="Times New Roman"/>
                <w:sz w:val="20"/>
                <w:szCs w:val="20"/>
              </w:rPr>
              <w:t xml:space="preserve">ārdodot produktus (piemēram, izsolēs) vai intelektuālā īpašuma tiesības, tas ir </w:t>
            </w:r>
            <w:r w:rsidR="00D545B5">
              <w:rPr>
                <w:rFonts w:ascii="Times New Roman" w:hAnsi="Times New Roman" w:cs="Times New Roman"/>
                <w:sz w:val="20"/>
                <w:szCs w:val="20"/>
              </w:rPr>
              <w:t xml:space="preserve">sniegts par tirgus cenu vai par </w:t>
            </w:r>
            <w:r w:rsidR="00D545B5" w:rsidRPr="00A00DFF">
              <w:rPr>
                <w:rFonts w:ascii="Times New Roman" w:hAnsi="Times New Roman" w:cs="Times New Roman"/>
                <w:sz w:val="20"/>
                <w:szCs w:val="20"/>
              </w:rPr>
              <w:t xml:space="preserve"> </w:t>
            </w:r>
            <w:r w:rsidR="00D545B5">
              <w:rPr>
                <w:rFonts w:ascii="Times New Roman" w:hAnsi="Times New Roman" w:cs="Times New Roman"/>
                <w:sz w:val="20"/>
                <w:szCs w:val="20"/>
              </w:rPr>
              <w:t>tādu cenu, kas atspoguļo visas tās izmaksas, kā arī saprātīgu uzcenojumu.</w:t>
            </w:r>
          </w:p>
          <w:p w:rsidR="00D545B5" w:rsidRPr="0083464A" w:rsidRDefault="00D545B5" w:rsidP="0083464A">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(Nostādnes par valsts atbalstu pētniecībai, attīstībai un inovācijai (2006/C 323/01), 3.2.1.punkts)</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Default="00D545B5" w:rsidP="00904280">
            <w:pPr>
              <w:spacing w:before="120" w:after="120"/>
              <w:jc w:val="both"/>
              <w:rPr>
                <w:rFonts w:ascii="Times New Roman" w:hAnsi="Times New Roman" w:cs="Times New Roman"/>
                <w:color w:val="FF0000"/>
                <w:sz w:val="20"/>
                <w:szCs w:val="20"/>
              </w:rPr>
            </w:pPr>
          </w:p>
          <w:p w:rsidR="00D545B5" w:rsidRPr="003935DE" w:rsidRDefault="00D545B5" w:rsidP="003F1E11">
            <w:pPr>
              <w:spacing w:before="120"/>
              <w:rPr>
                <w:rFonts w:ascii="Times New Roman" w:hAnsi="Times New Roman" w:cs="Times New Roman"/>
                <w:color w:val="FF0000"/>
                <w:sz w:val="20"/>
                <w:szCs w:val="20"/>
              </w:rPr>
            </w:pPr>
          </w:p>
        </w:tc>
      </w:tr>
      <w:tr w:rsidR="00D545B5" w:rsidRPr="003E13F6" w:rsidTr="00C8314F">
        <w:trPr>
          <w:cantSplit/>
        </w:trPr>
        <w:tc>
          <w:tcPr>
            <w:tcW w:w="959" w:type="dxa"/>
            <w:vMerge/>
          </w:tcPr>
          <w:p w:rsidR="00D545B5" w:rsidRPr="009D513A" w:rsidRDefault="00D545B5" w:rsidP="009D513A">
            <w:pPr>
              <w:spacing w:before="120"/>
              <w:ind w:left="360"/>
              <w:rPr>
                <w:rFonts w:ascii="Times New Roman" w:hAnsi="Times New Roman" w:cs="Times New Roman"/>
                <w:sz w:val="20"/>
                <w:szCs w:val="20"/>
              </w:rPr>
            </w:pPr>
          </w:p>
        </w:tc>
        <w:tc>
          <w:tcPr>
            <w:tcW w:w="4678" w:type="dxa"/>
            <w:gridSpan w:val="2"/>
          </w:tcPr>
          <w:p w:rsidR="00D545B5" w:rsidRDefault="00D545B5" w:rsidP="002C05A3">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Tirgus cenas noteikšanā tiek </w:t>
            </w:r>
            <w:r w:rsidRPr="002B5794">
              <w:rPr>
                <w:rFonts w:ascii="Times New Roman" w:hAnsi="Times New Roman" w:cs="Times New Roman"/>
                <w:sz w:val="20"/>
                <w:szCs w:val="20"/>
              </w:rPr>
              <w:t>pielietota atbilstoša metode, tās izvēle ir pamatota</w:t>
            </w:r>
            <w:r>
              <w:rPr>
                <w:rFonts w:ascii="Times New Roman" w:hAnsi="Times New Roman" w:cs="Times New Roman"/>
                <w:sz w:val="20"/>
                <w:szCs w:val="20"/>
              </w:rPr>
              <w:t xml:space="preserve"> ar situācijas analīzi. Analīze ir dokumentēta un ir izsekojama, lēmums ir vadības apstiprināts.</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935DE" w:rsidRDefault="00D545B5" w:rsidP="003F1E11">
            <w:pPr>
              <w:spacing w:before="120"/>
              <w:rPr>
                <w:rFonts w:ascii="Times New Roman" w:hAnsi="Times New Roman" w:cs="Times New Roman"/>
                <w:color w:val="FF0000"/>
                <w:sz w:val="20"/>
                <w:szCs w:val="20"/>
              </w:rPr>
            </w:pPr>
          </w:p>
        </w:tc>
      </w:tr>
      <w:tr w:rsidR="00D545B5" w:rsidRPr="003E13F6" w:rsidTr="00C8314F">
        <w:trPr>
          <w:cantSplit/>
        </w:trPr>
        <w:tc>
          <w:tcPr>
            <w:tcW w:w="959" w:type="dxa"/>
            <w:vMerge/>
          </w:tcPr>
          <w:p w:rsidR="00D545B5" w:rsidRPr="009D513A" w:rsidRDefault="00D545B5" w:rsidP="009D513A">
            <w:pPr>
              <w:spacing w:before="120"/>
              <w:ind w:left="360"/>
              <w:rPr>
                <w:rFonts w:ascii="Times New Roman" w:hAnsi="Times New Roman" w:cs="Times New Roman"/>
                <w:sz w:val="20"/>
                <w:szCs w:val="20"/>
              </w:rPr>
            </w:pPr>
          </w:p>
        </w:tc>
        <w:tc>
          <w:tcPr>
            <w:tcW w:w="4678" w:type="dxa"/>
            <w:gridSpan w:val="2"/>
          </w:tcPr>
          <w:p w:rsidR="00D545B5" w:rsidRPr="003E13F6" w:rsidRDefault="00D545B5" w:rsidP="002C05A3">
            <w:pPr>
              <w:spacing w:before="120" w:after="120"/>
              <w:jc w:val="both"/>
              <w:rPr>
                <w:rFonts w:ascii="Times New Roman" w:hAnsi="Times New Roman" w:cs="Times New Roman"/>
                <w:sz w:val="20"/>
                <w:szCs w:val="20"/>
              </w:rPr>
            </w:pPr>
            <w:r>
              <w:rPr>
                <w:rFonts w:ascii="Times New Roman" w:hAnsi="Times New Roman" w:cs="Times New Roman"/>
                <w:sz w:val="20"/>
                <w:szCs w:val="20"/>
              </w:rPr>
              <w:t>PO pielietotā</w:t>
            </w:r>
            <w:r w:rsidRPr="00B800C3">
              <w:rPr>
                <w:rFonts w:ascii="Times New Roman" w:hAnsi="Times New Roman" w:cs="Times New Roman"/>
                <w:sz w:val="20"/>
                <w:szCs w:val="20"/>
              </w:rPr>
              <w:t xml:space="preserve"> </w:t>
            </w:r>
            <w:r w:rsidRPr="00A00DFF">
              <w:rPr>
                <w:rFonts w:ascii="Times New Roman" w:hAnsi="Times New Roman" w:cs="Times New Roman"/>
                <w:sz w:val="20"/>
                <w:szCs w:val="20"/>
              </w:rPr>
              <w:t>p</w:t>
            </w:r>
            <w:r>
              <w:rPr>
                <w:rFonts w:ascii="Times New Roman" w:hAnsi="Times New Roman" w:cs="Times New Roman"/>
                <w:sz w:val="20"/>
                <w:szCs w:val="20"/>
              </w:rPr>
              <w:t xml:space="preserve">eļņas apmēra noteikšanas metode </w:t>
            </w:r>
            <w:r w:rsidRPr="00B800C3">
              <w:rPr>
                <w:rFonts w:ascii="Times New Roman" w:hAnsi="Times New Roman" w:cs="Times New Roman"/>
                <w:sz w:val="20"/>
                <w:szCs w:val="20"/>
              </w:rPr>
              <w:t xml:space="preserve">ir saskaņā ar </w:t>
            </w:r>
            <w:r w:rsidRPr="00DE5D92">
              <w:rPr>
                <w:rFonts w:ascii="Times New Roman" w:hAnsi="Times New Roman" w:cs="Times New Roman"/>
                <w:sz w:val="20"/>
                <w:szCs w:val="20"/>
              </w:rPr>
              <w:t>grāmatvedības politikā</w:t>
            </w:r>
            <w:r w:rsidRPr="00B800C3">
              <w:rPr>
                <w:rFonts w:ascii="Times New Roman" w:hAnsi="Times New Roman" w:cs="Times New Roman"/>
                <w:sz w:val="20"/>
                <w:szCs w:val="20"/>
              </w:rPr>
              <w:t xml:space="preserve"> noteiktajiem principiem.</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935DE" w:rsidRDefault="00D545B5" w:rsidP="003F1E11">
            <w:pPr>
              <w:spacing w:before="120"/>
              <w:rPr>
                <w:rFonts w:ascii="Times New Roman" w:hAnsi="Times New Roman" w:cs="Times New Roman"/>
                <w:color w:val="FF0000"/>
                <w:sz w:val="20"/>
                <w:szCs w:val="20"/>
              </w:rPr>
            </w:pPr>
          </w:p>
        </w:tc>
      </w:tr>
      <w:tr w:rsidR="00D545B5" w:rsidRPr="003E13F6" w:rsidTr="00C8314F">
        <w:trPr>
          <w:cantSplit/>
        </w:trPr>
        <w:tc>
          <w:tcPr>
            <w:tcW w:w="959" w:type="dxa"/>
            <w:vMerge/>
          </w:tcPr>
          <w:p w:rsidR="00D545B5" w:rsidRPr="009D513A" w:rsidRDefault="00D545B5" w:rsidP="009D513A">
            <w:pPr>
              <w:spacing w:before="120"/>
              <w:ind w:left="360"/>
              <w:rPr>
                <w:rFonts w:ascii="Times New Roman" w:hAnsi="Times New Roman" w:cs="Times New Roman"/>
                <w:sz w:val="20"/>
                <w:szCs w:val="20"/>
              </w:rPr>
            </w:pPr>
          </w:p>
        </w:tc>
        <w:tc>
          <w:tcPr>
            <w:tcW w:w="4678" w:type="dxa"/>
            <w:gridSpan w:val="2"/>
          </w:tcPr>
          <w:p w:rsidR="00D545B5" w:rsidRPr="003E13F6" w:rsidRDefault="00D545B5" w:rsidP="002C05A3">
            <w:pPr>
              <w:spacing w:before="120" w:after="120"/>
              <w:jc w:val="both"/>
              <w:rPr>
                <w:rFonts w:ascii="Times New Roman" w:hAnsi="Times New Roman" w:cs="Times New Roman"/>
                <w:sz w:val="20"/>
                <w:szCs w:val="20"/>
              </w:rPr>
            </w:pPr>
            <w:r>
              <w:rPr>
                <w:rFonts w:ascii="Times New Roman" w:hAnsi="Times New Roman" w:cs="Times New Roman"/>
                <w:sz w:val="20"/>
                <w:szCs w:val="20"/>
              </w:rPr>
              <w:t>Peļņas apmēra noteikšanas aprēķins ir matemātiski pareizs.</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935DE" w:rsidRDefault="00D545B5" w:rsidP="003F1E11">
            <w:pPr>
              <w:spacing w:before="120"/>
              <w:rPr>
                <w:rFonts w:ascii="Times New Roman" w:hAnsi="Times New Roman" w:cs="Times New Roman"/>
                <w:color w:val="FF0000"/>
                <w:sz w:val="20"/>
                <w:szCs w:val="20"/>
              </w:rPr>
            </w:pPr>
          </w:p>
        </w:tc>
      </w:tr>
      <w:tr w:rsidR="00E47240" w:rsidRPr="003E13F6" w:rsidTr="00C8314F">
        <w:trPr>
          <w:cantSplit/>
        </w:trPr>
        <w:tc>
          <w:tcPr>
            <w:tcW w:w="959" w:type="dxa"/>
            <w:vMerge/>
          </w:tcPr>
          <w:p w:rsidR="00E47240" w:rsidRPr="009D513A" w:rsidRDefault="00E47240" w:rsidP="009D513A">
            <w:pPr>
              <w:spacing w:before="120"/>
              <w:ind w:left="360"/>
              <w:rPr>
                <w:rFonts w:ascii="Times New Roman" w:hAnsi="Times New Roman" w:cs="Times New Roman"/>
                <w:sz w:val="20"/>
                <w:szCs w:val="20"/>
              </w:rPr>
            </w:pPr>
          </w:p>
        </w:tc>
        <w:tc>
          <w:tcPr>
            <w:tcW w:w="4678" w:type="dxa"/>
            <w:gridSpan w:val="2"/>
          </w:tcPr>
          <w:p w:rsidR="00E47240" w:rsidRPr="0083464A" w:rsidRDefault="00E47240" w:rsidP="00BA5F83">
            <w:pPr>
              <w:spacing w:before="120"/>
              <w:jc w:val="both"/>
              <w:rPr>
                <w:rFonts w:ascii="Times New Roman" w:hAnsi="Times New Roman" w:cs="Times New Roman"/>
                <w:sz w:val="20"/>
                <w:szCs w:val="20"/>
              </w:rPr>
            </w:pPr>
            <w:r>
              <w:rPr>
                <w:rFonts w:ascii="Times New Roman" w:hAnsi="Times New Roman" w:cs="Times New Roman"/>
                <w:sz w:val="20"/>
                <w:szCs w:val="20"/>
              </w:rPr>
              <w:t>Saistībā ar kombinēt</w:t>
            </w:r>
            <w:r w:rsidR="00BA5F83">
              <w:rPr>
                <w:rFonts w:ascii="Times New Roman" w:hAnsi="Times New Roman" w:cs="Times New Roman"/>
                <w:sz w:val="20"/>
                <w:szCs w:val="20"/>
              </w:rPr>
              <w:t>ajai</w:t>
            </w:r>
            <w:r>
              <w:rPr>
                <w:rFonts w:ascii="Times New Roman" w:hAnsi="Times New Roman" w:cs="Times New Roman"/>
                <w:sz w:val="20"/>
                <w:szCs w:val="20"/>
              </w:rPr>
              <w:t xml:space="preserve"> pamatdarbībai iegādātajiem infrastruktūras objektiem </w:t>
            </w:r>
            <w:r>
              <w:rPr>
                <w:rFonts w:ascii="Times New Roman" w:hAnsi="Times New Roman" w:cs="Times New Roman"/>
                <w:sz w:val="20"/>
                <w:szCs w:val="20"/>
              </w:rPr>
              <w:t>(</w:t>
            </w:r>
            <w:r>
              <w:rPr>
                <w:rFonts w:ascii="Times New Roman" w:hAnsi="Times New Roman" w:cs="Times New Roman"/>
                <w:sz w:val="20"/>
                <w:szCs w:val="20"/>
              </w:rPr>
              <w:t xml:space="preserve">t.i. </w:t>
            </w:r>
            <w:r>
              <w:rPr>
                <w:rFonts w:ascii="Times New Roman" w:hAnsi="Times New Roman" w:cs="Times New Roman"/>
                <w:sz w:val="20"/>
                <w:szCs w:val="20"/>
              </w:rPr>
              <w:t>2.1.1.3.1. apakšaktivitātes ietvaros)</w:t>
            </w:r>
            <w:r>
              <w:rPr>
                <w:rFonts w:ascii="Times New Roman" w:hAnsi="Times New Roman" w:cs="Times New Roman"/>
                <w:sz w:val="20"/>
                <w:szCs w:val="20"/>
              </w:rPr>
              <w:t xml:space="preserve"> netiek pārsniegtas noteiktās </w:t>
            </w:r>
            <w:r w:rsidRPr="00E47240">
              <w:rPr>
                <w:rFonts w:ascii="Times New Roman" w:hAnsi="Times New Roman" w:cs="Times New Roman"/>
                <w:i/>
                <w:sz w:val="20"/>
                <w:szCs w:val="20"/>
              </w:rPr>
              <w:t>de-minimis</w:t>
            </w:r>
            <w:r>
              <w:rPr>
                <w:rFonts w:ascii="Times New Roman" w:hAnsi="Times New Roman" w:cs="Times New Roman"/>
                <w:sz w:val="20"/>
                <w:szCs w:val="20"/>
              </w:rPr>
              <w:t xml:space="preserve"> normas iegādāto pamatlīdzekļu izmantošanai saimnieciskajos projektos, kā </w:t>
            </w:r>
            <w:r w:rsidR="00BA5F83">
              <w:rPr>
                <w:rFonts w:ascii="Times New Roman" w:hAnsi="Times New Roman" w:cs="Times New Roman"/>
                <w:sz w:val="20"/>
                <w:szCs w:val="20"/>
              </w:rPr>
              <w:t xml:space="preserve">arī, saimnieciskie līgumi, kuros tie tiek izmantoti, nav </w:t>
            </w:r>
            <w:r>
              <w:rPr>
                <w:rFonts w:ascii="Times New Roman" w:hAnsi="Times New Roman" w:cs="Times New Roman"/>
                <w:sz w:val="20"/>
                <w:szCs w:val="20"/>
              </w:rPr>
              <w:t xml:space="preserve">par cenu, kas ir zemāka par tirgus cenu vai projekta pašizmaksa plus </w:t>
            </w:r>
            <w:r w:rsidR="00BA5F83">
              <w:rPr>
                <w:rFonts w:ascii="Times New Roman" w:hAnsi="Times New Roman" w:cs="Times New Roman"/>
                <w:sz w:val="20"/>
                <w:szCs w:val="20"/>
              </w:rPr>
              <w:t>grāmatvedības politikā noteiktais uzcenojums</w:t>
            </w:r>
            <w:bookmarkStart w:id="2" w:name="_GoBack"/>
            <w:bookmarkEnd w:id="2"/>
            <w:r w:rsidR="00BA5F83">
              <w:rPr>
                <w:rFonts w:ascii="Times New Roman" w:hAnsi="Times New Roman" w:cs="Times New Roman"/>
                <w:sz w:val="20"/>
                <w:szCs w:val="20"/>
              </w:rPr>
              <w:t>.</w:t>
            </w:r>
          </w:p>
        </w:tc>
        <w:tc>
          <w:tcPr>
            <w:tcW w:w="708" w:type="dxa"/>
            <w:gridSpan w:val="2"/>
          </w:tcPr>
          <w:p w:rsidR="00E47240" w:rsidRPr="003E13F6" w:rsidRDefault="00E47240" w:rsidP="000706C0">
            <w:pPr>
              <w:spacing w:before="120"/>
              <w:rPr>
                <w:rFonts w:ascii="Times New Roman" w:hAnsi="Times New Roman" w:cs="Times New Roman"/>
                <w:sz w:val="20"/>
                <w:szCs w:val="20"/>
              </w:rPr>
            </w:pPr>
          </w:p>
        </w:tc>
        <w:tc>
          <w:tcPr>
            <w:tcW w:w="709" w:type="dxa"/>
            <w:gridSpan w:val="2"/>
          </w:tcPr>
          <w:p w:rsidR="00E47240" w:rsidRPr="003E13F6" w:rsidRDefault="00E47240" w:rsidP="000706C0">
            <w:pPr>
              <w:spacing w:before="120"/>
              <w:rPr>
                <w:rFonts w:ascii="Times New Roman" w:hAnsi="Times New Roman" w:cs="Times New Roman"/>
                <w:sz w:val="20"/>
                <w:szCs w:val="20"/>
              </w:rPr>
            </w:pPr>
          </w:p>
        </w:tc>
        <w:tc>
          <w:tcPr>
            <w:tcW w:w="709" w:type="dxa"/>
            <w:gridSpan w:val="2"/>
          </w:tcPr>
          <w:p w:rsidR="00E47240" w:rsidRPr="003E13F6" w:rsidRDefault="00E47240" w:rsidP="003F1E11">
            <w:pPr>
              <w:spacing w:before="120"/>
              <w:rPr>
                <w:rFonts w:ascii="Times New Roman" w:hAnsi="Times New Roman" w:cs="Times New Roman"/>
                <w:sz w:val="20"/>
                <w:szCs w:val="20"/>
              </w:rPr>
            </w:pPr>
          </w:p>
        </w:tc>
        <w:tc>
          <w:tcPr>
            <w:tcW w:w="5812" w:type="dxa"/>
            <w:gridSpan w:val="2"/>
          </w:tcPr>
          <w:p w:rsidR="00E47240" w:rsidRPr="003935DE" w:rsidRDefault="00E47240" w:rsidP="003F1E11">
            <w:pPr>
              <w:spacing w:before="120"/>
              <w:rPr>
                <w:rFonts w:ascii="Times New Roman" w:hAnsi="Times New Roman" w:cs="Times New Roman"/>
                <w:color w:val="FF0000"/>
                <w:sz w:val="20"/>
                <w:szCs w:val="20"/>
              </w:rPr>
            </w:pPr>
          </w:p>
        </w:tc>
      </w:tr>
      <w:tr w:rsidR="00D545B5" w:rsidRPr="003E13F6" w:rsidTr="00C8314F">
        <w:trPr>
          <w:cantSplit/>
        </w:trPr>
        <w:tc>
          <w:tcPr>
            <w:tcW w:w="959" w:type="dxa"/>
            <w:vMerge/>
          </w:tcPr>
          <w:p w:rsidR="00D545B5" w:rsidRPr="009D513A" w:rsidRDefault="00D545B5" w:rsidP="009D513A">
            <w:pPr>
              <w:spacing w:before="120"/>
              <w:ind w:left="360"/>
              <w:rPr>
                <w:rFonts w:ascii="Times New Roman" w:hAnsi="Times New Roman" w:cs="Times New Roman"/>
                <w:sz w:val="20"/>
                <w:szCs w:val="20"/>
              </w:rPr>
            </w:pPr>
          </w:p>
        </w:tc>
        <w:tc>
          <w:tcPr>
            <w:tcW w:w="4678" w:type="dxa"/>
            <w:gridSpan w:val="2"/>
          </w:tcPr>
          <w:p w:rsidR="00D545B5" w:rsidRPr="0083464A" w:rsidRDefault="00D545B5" w:rsidP="00E47240">
            <w:pPr>
              <w:spacing w:before="120" w:after="120"/>
              <w:jc w:val="both"/>
              <w:rPr>
                <w:rFonts w:ascii="Times New Roman" w:hAnsi="Times New Roman" w:cs="Times New Roman"/>
                <w:sz w:val="20"/>
                <w:szCs w:val="20"/>
              </w:rPr>
            </w:pPr>
            <w:r w:rsidRPr="0083464A">
              <w:rPr>
                <w:rFonts w:ascii="Times New Roman" w:hAnsi="Times New Roman" w:cs="Times New Roman"/>
                <w:sz w:val="20"/>
                <w:szCs w:val="20"/>
              </w:rPr>
              <w:t>Saistībā par finansēto projektu uzskaiti un PO infrastruktūras objektu nolietojuma uzskaiti, tiek nodrošināti pierādījumi, ka PO nekropļo tirgu, izmantojot nesaimnieciskai darbībai iegādāto un apsaimniekoto infrastruktūru savu pakalpojumu, produktu, tehnoloģiju, prototipu un intelektuālā īpašuma radīšanai un to ieviešanai tirgū</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935DE" w:rsidRDefault="00D545B5" w:rsidP="003F1E11">
            <w:pPr>
              <w:spacing w:before="120"/>
              <w:rPr>
                <w:rFonts w:ascii="Times New Roman" w:hAnsi="Times New Roman" w:cs="Times New Roman"/>
                <w:color w:val="FF0000"/>
                <w:sz w:val="20"/>
                <w:szCs w:val="20"/>
              </w:rPr>
            </w:pPr>
          </w:p>
        </w:tc>
      </w:tr>
      <w:tr w:rsidR="00D545B5" w:rsidRPr="003E13F6" w:rsidTr="00C8314F">
        <w:trPr>
          <w:cantSplit/>
        </w:trPr>
        <w:tc>
          <w:tcPr>
            <w:tcW w:w="13575" w:type="dxa"/>
            <w:gridSpan w:val="11"/>
          </w:tcPr>
          <w:p w:rsidR="00D545B5" w:rsidRPr="003935DE" w:rsidRDefault="00D545B5" w:rsidP="00904280">
            <w:pPr>
              <w:spacing w:before="120" w:after="120"/>
              <w:jc w:val="both"/>
              <w:rPr>
                <w:rFonts w:ascii="Times New Roman" w:hAnsi="Times New Roman" w:cs="Times New Roman"/>
                <w:color w:val="FF0000"/>
                <w:sz w:val="20"/>
                <w:szCs w:val="20"/>
              </w:rPr>
            </w:pPr>
            <w:r w:rsidRPr="00FD22B3">
              <w:rPr>
                <w:rFonts w:ascii="Times New Roman" w:hAnsi="Times New Roman" w:cs="Times New Roman"/>
                <w:b/>
                <w:sz w:val="24"/>
                <w:szCs w:val="24"/>
              </w:rPr>
              <w:t>Ieņēmumu reinvestēšana</w:t>
            </w:r>
          </w:p>
        </w:tc>
      </w:tr>
      <w:tr w:rsidR="00D545B5" w:rsidRPr="003E13F6" w:rsidTr="00C8314F">
        <w:trPr>
          <w:cantSplit/>
        </w:trPr>
        <w:tc>
          <w:tcPr>
            <w:tcW w:w="959" w:type="dxa"/>
            <w:vMerge w:val="restart"/>
          </w:tcPr>
          <w:p w:rsidR="00D545B5" w:rsidRPr="003E13F6" w:rsidRDefault="00D545B5" w:rsidP="00D31146">
            <w:pPr>
              <w:pStyle w:val="ListParagraph"/>
              <w:numPr>
                <w:ilvl w:val="1"/>
                <w:numId w:val="3"/>
              </w:numPr>
              <w:spacing w:before="120" w:line="240" w:lineRule="auto"/>
              <w:rPr>
                <w:rFonts w:ascii="Times New Roman" w:hAnsi="Times New Roman" w:cs="Times New Roman"/>
                <w:sz w:val="20"/>
                <w:szCs w:val="20"/>
                <w:lang w:val="lv-LV"/>
              </w:rPr>
            </w:pPr>
          </w:p>
        </w:tc>
        <w:tc>
          <w:tcPr>
            <w:tcW w:w="4678" w:type="dxa"/>
            <w:gridSpan w:val="2"/>
          </w:tcPr>
          <w:p w:rsidR="00D545B5" w:rsidRDefault="00D545B5" w:rsidP="0083464A">
            <w:pPr>
              <w:spacing w:before="120" w:after="120"/>
              <w:jc w:val="both"/>
              <w:rPr>
                <w:rFonts w:ascii="Times New Roman" w:hAnsi="Times New Roman" w:cs="Times New Roman"/>
                <w:sz w:val="20"/>
                <w:szCs w:val="20"/>
              </w:rPr>
            </w:pPr>
            <w:r w:rsidRPr="003E13F6">
              <w:rPr>
                <w:rFonts w:ascii="Times New Roman" w:hAnsi="Times New Roman" w:cs="Times New Roman"/>
                <w:sz w:val="20"/>
                <w:szCs w:val="20"/>
              </w:rPr>
              <w:t xml:space="preserve">PO </w:t>
            </w:r>
            <w:r w:rsidRPr="00651469">
              <w:rPr>
                <w:rFonts w:ascii="Times New Roman" w:hAnsi="Times New Roman" w:cs="Times New Roman"/>
                <w:sz w:val="20"/>
                <w:szCs w:val="20"/>
                <w:u w:val="single"/>
              </w:rPr>
              <w:t>saimnieciskajā</w:t>
            </w:r>
            <w:r w:rsidRPr="003E13F6">
              <w:rPr>
                <w:rFonts w:ascii="Times New Roman" w:hAnsi="Times New Roman" w:cs="Times New Roman"/>
                <w:sz w:val="20"/>
                <w:szCs w:val="20"/>
              </w:rPr>
              <w:t xml:space="preserve"> darbībā gūtie ieņēmumi tiek novirzīti pamatdarbības finansēšanai (gan saimnieciskajai, gan nesaimnieciskajai)</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935DE" w:rsidRDefault="00D545B5" w:rsidP="003F1E11">
            <w:pPr>
              <w:spacing w:before="120"/>
              <w:rPr>
                <w:rFonts w:ascii="Times New Roman" w:hAnsi="Times New Roman" w:cs="Times New Roman"/>
                <w:color w:val="FF0000"/>
                <w:sz w:val="20"/>
                <w:szCs w:val="20"/>
              </w:rPr>
            </w:pPr>
          </w:p>
        </w:tc>
      </w:tr>
      <w:tr w:rsidR="00D545B5" w:rsidRPr="003E13F6" w:rsidTr="00C8314F">
        <w:trPr>
          <w:cantSplit/>
        </w:trPr>
        <w:tc>
          <w:tcPr>
            <w:tcW w:w="959" w:type="dxa"/>
            <w:vMerge/>
          </w:tcPr>
          <w:p w:rsidR="00D545B5" w:rsidRPr="006375B9" w:rsidRDefault="00D545B5" w:rsidP="006375B9">
            <w:pPr>
              <w:spacing w:before="120"/>
              <w:ind w:left="360"/>
              <w:rPr>
                <w:rFonts w:ascii="Times New Roman" w:hAnsi="Times New Roman" w:cs="Times New Roman"/>
                <w:sz w:val="20"/>
                <w:szCs w:val="20"/>
              </w:rPr>
            </w:pPr>
          </w:p>
        </w:tc>
        <w:tc>
          <w:tcPr>
            <w:tcW w:w="4678" w:type="dxa"/>
            <w:gridSpan w:val="2"/>
          </w:tcPr>
          <w:p w:rsidR="00D545B5" w:rsidRDefault="00D545B5" w:rsidP="005A0E80">
            <w:pPr>
              <w:spacing w:before="120" w:after="120"/>
              <w:jc w:val="both"/>
              <w:rPr>
                <w:rFonts w:ascii="Times New Roman" w:hAnsi="Times New Roman" w:cs="Times New Roman"/>
                <w:sz w:val="20"/>
                <w:szCs w:val="20"/>
              </w:rPr>
            </w:pPr>
            <w:r>
              <w:rPr>
                <w:rFonts w:ascii="Times New Roman" w:hAnsi="Times New Roman" w:cs="Times New Roman"/>
                <w:sz w:val="20"/>
                <w:szCs w:val="20"/>
              </w:rPr>
              <w:t>PO</w:t>
            </w:r>
            <w:r w:rsidRPr="003E51D8">
              <w:rPr>
                <w:rFonts w:ascii="Times New Roman" w:hAnsi="Times New Roman" w:cs="Times New Roman"/>
                <w:sz w:val="20"/>
                <w:szCs w:val="20"/>
              </w:rPr>
              <w:t xml:space="preserve"> </w:t>
            </w:r>
            <w:r w:rsidRPr="00223B11">
              <w:rPr>
                <w:rFonts w:ascii="Times New Roman" w:hAnsi="Times New Roman" w:cs="Times New Roman"/>
                <w:sz w:val="20"/>
                <w:szCs w:val="20"/>
                <w:u w:val="single"/>
              </w:rPr>
              <w:t>pamatdarbīb</w:t>
            </w:r>
            <w:r>
              <w:rPr>
                <w:rFonts w:ascii="Times New Roman" w:hAnsi="Times New Roman" w:cs="Times New Roman"/>
                <w:sz w:val="20"/>
                <w:szCs w:val="20"/>
                <w:u w:val="single"/>
              </w:rPr>
              <w:t>ā</w:t>
            </w:r>
            <w:r w:rsidRPr="003E51D8">
              <w:rPr>
                <w:rFonts w:ascii="Times New Roman" w:hAnsi="Times New Roman" w:cs="Times New Roman"/>
                <w:sz w:val="20"/>
                <w:szCs w:val="20"/>
              </w:rPr>
              <w:t xml:space="preserve"> gūto peļņu reinvestē pamatdarbībā,</w:t>
            </w:r>
            <w:r>
              <w:rPr>
                <w:rFonts w:ascii="Times New Roman" w:hAnsi="Times New Roman" w:cs="Times New Roman"/>
                <w:sz w:val="20"/>
                <w:szCs w:val="20"/>
              </w:rPr>
              <w:t xml:space="preserve"> t.sk. </w:t>
            </w:r>
            <w:r>
              <w:rPr>
                <w:rFonts w:ascii="Times New Roman" w:hAnsi="Times New Roman" w:cs="Times New Roman"/>
                <w:sz w:val="20"/>
                <w:szCs w:val="20"/>
                <w:u w:val="single"/>
              </w:rPr>
              <w:t>n</w:t>
            </w:r>
            <w:r w:rsidRPr="00651469">
              <w:rPr>
                <w:rFonts w:ascii="Times New Roman" w:hAnsi="Times New Roman" w:cs="Times New Roman"/>
                <w:sz w:val="20"/>
                <w:szCs w:val="20"/>
                <w:u w:val="single"/>
              </w:rPr>
              <w:t>esaimnieciskajā</w:t>
            </w:r>
            <w:r w:rsidRPr="00651469">
              <w:rPr>
                <w:rFonts w:ascii="Times New Roman" w:hAnsi="Times New Roman" w:cs="Times New Roman"/>
                <w:sz w:val="20"/>
                <w:szCs w:val="20"/>
              </w:rPr>
              <w:t xml:space="preserve"> </w:t>
            </w:r>
            <w:r w:rsidRPr="009C5962">
              <w:rPr>
                <w:rFonts w:ascii="Times New Roman" w:hAnsi="Times New Roman" w:cs="Times New Roman"/>
                <w:sz w:val="20"/>
                <w:szCs w:val="20"/>
              </w:rPr>
              <w:t>pamatdarbībā gūtie neto ieņēmumi tiek reinvestēti tikai nesaimnieciskajā pamatdarbībā</w:t>
            </w:r>
          </w:p>
          <w:p w:rsidR="00D545B5" w:rsidRPr="0083464A" w:rsidRDefault="00D545B5" w:rsidP="0083464A">
            <w:pPr>
              <w:spacing w:before="120" w:after="120"/>
              <w:jc w:val="both"/>
              <w:rPr>
                <w:rFonts w:ascii="Times New Roman" w:hAnsi="Times New Roman" w:cs="Times New Roman"/>
                <w:sz w:val="18"/>
                <w:szCs w:val="18"/>
              </w:rPr>
            </w:pPr>
            <w:r w:rsidRPr="0083464A">
              <w:rPr>
                <w:rFonts w:ascii="Times New Roman" w:hAnsi="Times New Roman" w:cs="Times New Roman"/>
                <w:sz w:val="18"/>
                <w:szCs w:val="18"/>
              </w:rPr>
              <w:t>(Nostādnes par valsts atbalstu pētniecībai, attīstībai un inovācijai (2006/C 323/01), PO definīcija)</w:t>
            </w:r>
          </w:p>
        </w:tc>
        <w:tc>
          <w:tcPr>
            <w:tcW w:w="708"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0706C0">
            <w:pPr>
              <w:spacing w:before="120"/>
              <w:rPr>
                <w:rFonts w:ascii="Times New Roman" w:hAnsi="Times New Roman" w:cs="Times New Roman"/>
                <w:sz w:val="20"/>
                <w:szCs w:val="20"/>
              </w:rPr>
            </w:pPr>
          </w:p>
        </w:tc>
        <w:tc>
          <w:tcPr>
            <w:tcW w:w="709" w:type="dxa"/>
            <w:gridSpan w:val="2"/>
          </w:tcPr>
          <w:p w:rsidR="00D545B5" w:rsidRPr="003E13F6" w:rsidRDefault="00D545B5" w:rsidP="003F1E11">
            <w:pPr>
              <w:spacing w:before="120"/>
              <w:rPr>
                <w:rFonts w:ascii="Times New Roman" w:hAnsi="Times New Roman" w:cs="Times New Roman"/>
                <w:sz w:val="20"/>
                <w:szCs w:val="20"/>
              </w:rPr>
            </w:pPr>
          </w:p>
        </w:tc>
        <w:tc>
          <w:tcPr>
            <w:tcW w:w="5812" w:type="dxa"/>
            <w:gridSpan w:val="2"/>
          </w:tcPr>
          <w:p w:rsidR="00D545B5" w:rsidRPr="003935DE" w:rsidRDefault="00D545B5" w:rsidP="003F1E11">
            <w:pPr>
              <w:spacing w:before="120"/>
              <w:rPr>
                <w:rFonts w:ascii="Times New Roman" w:hAnsi="Times New Roman" w:cs="Times New Roman"/>
                <w:color w:val="FF0000"/>
                <w:sz w:val="20"/>
                <w:szCs w:val="20"/>
              </w:rPr>
            </w:pPr>
          </w:p>
        </w:tc>
      </w:tr>
    </w:tbl>
    <w:p w:rsidR="002A2128" w:rsidRPr="00356BC6" w:rsidRDefault="002A2128" w:rsidP="005D7F11"/>
    <w:sectPr w:rsidR="002A2128" w:rsidRPr="00356BC6" w:rsidSect="00C8314F">
      <w:footerReference w:type="default" r:id="rId14"/>
      <w:pgSz w:w="15840" w:h="12240" w:orient="landscape"/>
      <w:pgMar w:top="1440" w:right="993" w:bottom="118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4F" w:rsidRDefault="00430F4F" w:rsidP="00E94913">
      <w:pPr>
        <w:spacing w:after="0" w:line="240" w:lineRule="auto"/>
      </w:pPr>
      <w:r>
        <w:separator/>
      </w:r>
    </w:p>
  </w:endnote>
  <w:endnote w:type="continuationSeparator" w:id="0">
    <w:p w:rsidR="00430F4F" w:rsidRDefault="00430F4F" w:rsidP="00E9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73319"/>
      <w:docPartObj>
        <w:docPartGallery w:val="Page Numbers (Bottom of Page)"/>
        <w:docPartUnique/>
      </w:docPartObj>
    </w:sdtPr>
    <w:sdtEndPr/>
    <w:sdtContent>
      <w:p w:rsidR="002C05A3" w:rsidRDefault="00CA7EB2">
        <w:pPr>
          <w:pStyle w:val="Footer"/>
          <w:jc w:val="right"/>
        </w:pPr>
        <w:r>
          <w:fldChar w:fldCharType="begin"/>
        </w:r>
        <w:r w:rsidR="00F87A07">
          <w:instrText xml:space="preserve"> PAGE   \* MERGEFORMAT </w:instrText>
        </w:r>
        <w:r>
          <w:fldChar w:fldCharType="separate"/>
        </w:r>
        <w:r w:rsidR="00BA5F83">
          <w:rPr>
            <w:noProof/>
          </w:rPr>
          <w:t>8</w:t>
        </w:r>
        <w:r>
          <w:rPr>
            <w:noProof/>
          </w:rPr>
          <w:fldChar w:fldCharType="end"/>
        </w:r>
      </w:p>
    </w:sdtContent>
  </w:sdt>
  <w:p w:rsidR="002C05A3" w:rsidRDefault="002C0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4F" w:rsidRDefault="00430F4F" w:rsidP="00E94913">
      <w:pPr>
        <w:spacing w:after="0" w:line="240" w:lineRule="auto"/>
      </w:pPr>
      <w:r>
        <w:separator/>
      </w:r>
    </w:p>
  </w:footnote>
  <w:footnote w:type="continuationSeparator" w:id="0">
    <w:p w:rsidR="00430F4F" w:rsidRDefault="00430F4F" w:rsidP="00E94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0F"/>
    <w:multiLevelType w:val="hybridMultilevel"/>
    <w:tmpl w:val="C12AFC1C"/>
    <w:lvl w:ilvl="0" w:tplc="A7C00D18">
      <w:start w:val="107"/>
      <w:numFmt w:val="bullet"/>
      <w:lvlText w:val="-"/>
      <w:lvlJc w:val="left"/>
      <w:pPr>
        <w:ind w:left="390" w:hanging="360"/>
      </w:pPr>
      <w:rPr>
        <w:rFonts w:ascii="Times New Roman" w:eastAsiaTheme="minorHAnsi"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05E84596"/>
    <w:multiLevelType w:val="hybridMultilevel"/>
    <w:tmpl w:val="847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3090"/>
    <w:multiLevelType w:val="hybridMultilevel"/>
    <w:tmpl w:val="63A2B79E"/>
    <w:lvl w:ilvl="0" w:tplc="24DC89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45135"/>
    <w:multiLevelType w:val="multilevel"/>
    <w:tmpl w:val="BAFAA2D6"/>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sz w:val="24"/>
        <w:szCs w:val="24"/>
      </w:rPr>
    </w:lvl>
    <w:lvl w:ilvl="2">
      <w:start w:val="1"/>
      <w:numFmt w:val="decimal"/>
      <w:isLgl/>
      <w:lvlText w:val="%1.%2.%3."/>
      <w:lvlJc w:val="left"/>
      <w:pPr>
        <w:ind w:left="1494" w:hanging="720"/>
      </w:pPr>
      <w:rPr>
        <w:rFonts w:hint="default"/>
        <w:b/>
        <w:sz w:val="24"/>
        <w:szCs w:val="24"/>
      </w:rPr>
    </w:lvl>
    <w:lvl w:ilvl="3">
      <w:start w:val="1"/>
      <w:numFmt w:val="decimal"/>
      <w:isLgl/>
      <w:lvlText w:val="%1.%2.%3.%4."/>
      <w:lvlJc w:val="left"/>
      <w:pPr>
        <w:ind w:left="1701" w:hanging="720"/>
      </w:pPr>
      <w:rPr>
        <w:rFonts w:hint="default"/>
        <w:b/>
        <w:sz w:val="24"/>
        <w:szCs w:val="24"/>
      </w:rPr>
    </w:lvl>
    <w:lvl w:ilvl="4">
      <w:start w:val="1"/>
      <w:numFmt w:val="decimal"/>
      <w:isLgl/>
      <w:lvlText w:val="%1.%2.%3.%4.%5."/>
      <w:lvlJc w:val="left"/>
      <w:pPr>
        <w:ind w:left="2268" w:hanging="1080"/>
      </w:pPr>
      <w:rPr>
        <w:rFonts w:hint="default"/>
        <w:sz w:val="24"/>
        <w:szCs w:val="24"/>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4">
    <w:nsid w:val="173B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8C694D"/>
    <w:multiLevelType w:val="hybridMultilevel"/>
    <w:tmpl w:val="E8BE7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4DC8994">
      <w:start w:val="1"/>
      <w:numFmt w:val="bullet"/>
      <w:lvlText w:val=""/>
      <w:lvlJc w:val="left"/>
      <w:pPr>
        <w:ind w:left="174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124A6"/>
    <w:multiLevelType w:val="multilevel"/>
    <w:tmpl w:val="6E74C524"/>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sz w:val="24"/>
        <w:szCs w:val="24"/>
      </w:rPr>
    </w:lvl>
    <w:lvl w:ilvl="2">
      <w:start w:val="1"/>
      <w:numFmt w:val="decimal"/>
      <w:isLgl/>
      <w:lvlText w:val="%1.%2.%3."/>
      <w:lvlJc w:val="left"/>
      <w:pPr>
        <w:ind w:left="1494" w:hanging="720"/>
      </w:pPr>
      <w:rPr>
        <w:rFonts w:hint="default"/>
        <w:b/>
        <w:sz w:val="24"/>
        <w:szCs w:val="24"/>
      </w:rPr>
    </w:lvl>
    <w:lvl w:ilvl="3">
      <w:start w:val="1"/>
      <w:numFmt w:val="decimal"/>
      <w:isLgl/>
      <w:lvlText w:val="%1.%2.%3.%4."/>
      <w:lvlJc w:val="left"/>
      <w:pPr>
        <w:ind w:left="1701" w:hanging="720"/>
      </w:pPr>
      <w:rPr>
        <w:rFonts w:hint="default"/>
        <w:b/>
        <w:sz w:val="24"/>
        <w:szCs w:val="24"/>
      </w:rPr>
    </w:lvl>
    <w:lvl w:ilvl="4">
      <w:start w:val="1"/>
      <w:numFmt w:val="upperRoman"/>
      <w:lvlText w:val="%5."/>
      <w:lvlJc w:val="right"/>
      <w:pPr>
        <w:ind w:left="2268" w:hanging="1080"/>
      </w:pPr>
      <w:rPr>
        <w:rFonts w:hint="default"/>
        <w:sz w:val="24"/>
        <w:szCs w:val="24"/>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7">
    <w:nsid w:val="281E4189"/>
    <w:multiLevelType w:val="hybridMultilevel"/>
    <w:tmpl w:val="18C835B6"/>
    <w:lvl w:ilvl="0" w:tplc="F050EAFA">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B7E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DC2ED6"/>
    <w:multiLevelType w:val="hybridMultilevel"/>
    <w:tmpl w:val="1B283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4DC8994">
      <w:start w:val="1"/>
      <w:numFmt w:val="bullet"/>
      <w:lvlText w:val=""/>
      <w:lvlJc w:val="left"/>
      <w:pPr>
        <w:ind w:left="2160" w:hanging="180"/>
      </w:pPr>
      <w:rPr>
        <w:rFonts w:ascii="Symbol" w:hAnsi="Symbol" w:hint="default"/>
      </w:rPr>
    </w:lvl>
    <w:lvl w:ilvl="3" w:tplc="24DC8994">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53D44"/>
    <w:multiLevelType w:val="hybridMultilevel"/>
    <w:tmpl w:val="2A56723E"/>
    <w:lvl w:ilvl="0" w:tplc="0409001B">
      <w:start w:val="1"/>
      <w:numFmt w:val="low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94657D9"/>
    <w:multiLevelType w:val="hybridMultilevel"/>
    <w:tmpl w:val="E0023186"/>
    <w:lvl w:ilvl="0" w:tplc="24DC89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0C441D"/>
    <w:multiLevelType w:val="hybridMultilevel"/>
    <w:tmpl w:val="8968B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031"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87A33"/>
    <w:multiLevelType w:val="hybridMultilevel"/>
    <w:tmpl w:val="8F86B3B2"/>
    <w:lvl w:ilvl="0" w:tplc="145430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23E60"/>
    <w:multiLevelType w:val="hybridMultilevel"/>
    <w:tmpl w:val="6ED6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81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6531FF"/>
    <w:multiLevelType w:val="multilevel"/>
    <w:tmpl w:val="76D2BC4C"/>
    <w:lvl w:ilvl="0">
      <w:start w:val="1"/>
      <w:numFmt w:val="decimal"/>
      <w:pStyle w:val="Heading1"/>
      <w:lvlText w:val="%1."/>
      <w:lvlJc w:val="left"/>
      <w:pPr>
        <w:ind w:left="850" w:hanging="850"/>
      </w:pPr>
      <w:rPr>
        <w:rFonts w:ascii="Times New Roman" w:hAnsi="Times New Roman" w:hint="default"/>
        <w:b/>
        <w:i w:val="0"/>
        <w:color w:val="8064A2" w:themeColor="accent4"/>
      </w:rPr>
    </w:lvl>
    <w:lvl w:ilvl="1">
      <w:start w:val="1"/>
      <w:numFmt w:val="decimal"/>
      <w:pStyle w:val="Heading2"/>
      <w:lvlText w:val="%1.%2"/>
      <w:lvlJc w:val="left"/>
      <w:pPr>
        <w:ind w:left="3969" w:hanging="850"/>
      </w:pPr>
      <w:rPr>
        <w:b/>
        <w:i w:val="0"/>
      </w:rPr>
    </w:lvl>
    <w:lvl w:ilvl="2">
      <w:start w:val="1"/>
      <w:numFmt w:val="decimal"/>
      <w:pStyle w:val="Heading3"/>
      <w:lvlText w:val="%1.%2.%3"/>
      <w:lvlJc w:val="left"/>
      <w:pPr>
        <w:ind w:left="850" w:hanging="850"/>
      </w:pPr>
      <w:rPr>
        <w:b w:val="0"/>
        <w:i w:val="0"/>
      </w:rPr>
    </w:lvl>
    <w:lvl w:ilvl="3">
      <w:start w:val="1"/>
      <w:numFmt w:val="decimal"/>
      <w:pStyle w:val="Heading4"/>
      <w:lvlText w:val="%1.%2.%3.%4"/>
      <w:lvlJc w:val="left"/>
      <w:pPr>
        <w:ind w:left="850" w:hanging="85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9E13050"/>
    <w:multiLevelType w:val="hybridMultilevel"/>
    <w:tmpl w:val="61C6756C"/>
    <w:lvl w:ilvl="0" w:tplc="24DC89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5"/>
  </w:num>
  <w:num w:numId="4">
    <w:abstractNumId w:val="11"/>
  </w:num>
  <w:num w:numId="5">
    <w:abstractNumId w:val="17"/>
  </w:num>
  <w:num w:numId="6">
    <w:abstractNumId w:val="10"/>
  </w:num>
  <w:num w:numId="7">
    <w:abstractNumId w:val="5"/>
  </w:num>
  <w:num w:numId="8">
    <w:abstractNumId w:val="2"/>
  </w:num>
  <w:num w:numId="9">
    <w:abstractNumId w:val="0"/>
  </w:num>
  <w:num w:numId="10">
    <w:abstractNumId w:val="7"/>
  </w:num>
  <w:num w:numId="11">
    <w:abstractNumId w:val="9"/>
  </w:num>
  <w:num w:numId="12">
    <w:abstractNumId w:val="14"/>
  </w:num>
  <w:num w:numId="13">
    <w:abstractNumId w:val="1"/>
  </w:num>
  <w:num w:numId="14">
    <w:abstractNumId w:val="3"/>
  </w:num>
  <w:num w:numId="15">
    <w:abstractNumId w:val="6"/>
  </w:num>
  <w:num w:numId="16">
    <w:abstractNumId w:val="8"/>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195D"/>
    <w:rsid w:val="00006AE5"/>
    <w:rsid w:val="00014FEB"/>
    <w:rsid w:val="0001561D"/>
    <w:rsid w:val="00017C37"/>
    <w:rsid w:val="000226E3"/>
    <w:rsid w:val="000341CE"/>
    <w:rsid w:val="00045A9D"/>
    <w:rsid w:val="00051117"/>
    <w:rsid w:val="000539AF"/>
    <w:rsid w:val="00054ACB"/>
    <w:rsid w:val="00054F0A"/>
    <w:rsid w:val="000706C0"/>
    <w:rsid w:val="00071EF5"/>
    <w:rsid w:val="00074ED4"/>
    <w:rsid w:val="00081CD7"/>
    <w:rsid w:val="00082C04"/>
    <w:rsid w:val="00083051"/>
    <w:rsid w:val="00094D3F"/>
    <w:rsid w:val="000A0B78"/>
    <w:rsid w:val="000A36E8"/>
    <w:rsid w:val="000A5F94"/>
    <w:rsid w:val="000A696F"/>
    <w:rsid w:val="000A7518"/>
    <w:rsid w:val="000B0D9C"/>
    <w:rsid w:val="000B4493"/>
    <w:rsid w:val="000B517B"/>
    <w:rsid w:val="000B572B"/>
    <w:rsid w:val="000C28E0"/>
    <w:rsid w:val="000C6319"/>
    <w:rsid w:val="000D3FBF"/>
    <w:rsid w:val="000E1409"/>
    <w:rsid w:val="000E2257"/>
    <w:rsid w:val="000E5021"/>
    <w:rsid w:val="000F33FA"/>
    <w:rsid w:val="001003B8"/>
    <w:rsid w:val="00106650"/>
    <w:rsid w:val="00106ECA"/>
    <w:rsid w:val="001076A9"/>
    <w:rsid w:val="00110BC7"/>
    <w:rsid w:val="00112781"/>
    <w:rsid w:val="001149FE"/>
    <w:rsid w:val="00122D82"/>
    <w:rsid w:val="00123A0C"/>
    <w:rsid w:val="00134086"/>
    <w:rsid w:val="00137FFA"/>
    <w:rsid w:val="00140598"/>
    <w:rsid w:val="0014262F"/>
    <w:rsid w:val="00142A12"/>
    <w:rsid w:val="001500BA"/>
    <w:rsid w:val="00151972"/>
    <w:rsid w:val="0015217E"/>
    <w:rsid w:val="00171CFE"/>
    <w:rsid w:val="00181E80"/>
    <w:rsid w:val="001848B2"/>
    <w:rsid w:val="00190984"/>
    <w:rsid w:val="00191E71"/>
    <w:rsid w:val="00194064"/>
    <w:rsid w:val="00196562"/>
    <w:rsid w:val="001A1834"/>
    <w:rsid w:val="001A4F74"/>
    <w:rsid w:val="001A5E99"/>
    <w:rsid w:val="001B2C20"/>
    <w:rsid w:val="001B56C3"/>
    <w:rsid w:val="001C089B"/>
    <w:rsid w:val="001C4A6C"/>
    <w:rsid w:val="001C5CA8"/>
    <w:rsid w:val="001C6106"/>
    <w:rsid w:val="001D5E5D"/>
    <w:rsid w:val="001D5F41"/>
    <w:rsid w:val="001D63F8"/>
    <w:rsid w:val="001E1B2B"/>
    <w:rsid w:val="001E34FE"/>
    <w:rsid w:val="001E4C12"/>
    <w:rsid w:val="001F1547"/>
    <w:rsid w:val="001F69B7"/>
    <w:rsid w:val="0021466A"/>
    <w:rsid w:val="00220947"/>
    <w:rsid w:val="0022117B"/>
    <w:rsid w:val="00223B11"/>
    <w:rsid w:val="00227E74"/>
    <w:rsid w:val="00230043"/>
    <w:rsid w:val="0023195D"/>
    <w:rsid w:val="00235DD0"/>
    <w:rsid w:val="0024767E"/>
    <w:rsid w:val="0025281B"/>
    <w:rsid w:val="00257DDF"/>
    <w:rsid w:val="00265A12"/>
    <w:rsid w:val="00266E54"/>
    <w:rsid w:val="002734B4"/>
    <w:rsid w:val="00281755"/>
    <w:rsid w:val="002842A8"/>
    <w:rsid w:val="00285A2B"/>
    <w:rsid w:val="00286033"/>
    <w:rsid w:val="00290253"/>
    <w:rsid w:val="002A1A81"/>
    <w:rsid w:val="002A2128"/>
    <w:rsid w:val="002A6B0F"/>
    <w:rsid w:val="002A6D9F"/>
    <w:rsid w:val="002B090F"/>
    <w:rsid w:val="002B393F"/>
    <w:rsid w:val="002B5794"/>
    <w:rsid w:val="002B5951"/>
    <w:rsid w:val="002B6C4F"/>
    <w:rsid w:val="002C05A3"/>
    <w:rsid w:val="002C2518"/>
    <w:rsid w:val="002C42B2"/>
    <w:rsid w:val="002C7A69"/>
    <w:rsid w:val="002C7C3D"/>
    <w:rsid w:val="002D0B2E"/>
    <w:rsid w:val="002D6B6E"/>
    <w:rsid w:val="002D74BB"/>
    <w:rsid w:val="002E6460"/>
    <w:rsid w:val="002F0DC7"/>
    <w:rsid w:val="00300D98"/>
    <w:rsid w:val="0030169D"/>
    <w:rsid w:val="0031159B"/>
    <w:rsid w:val="003120E3"/>
    <w:rsid w:val="003161C9"/>
    <w:rsid w:val="00317BEC"/>
    <w:rsid w:val="00317ED3"/>
    <w:rsid w:val="00321485"/>
    <w:rsid w:val="00324717"/>
    <w:rsid w:val="003340A3"/>
    <w:rsid w:val="0034670D"/>
    <w:rsid w:val="003506DF"/>
    <w:rsid w:val="00356BC6"/>
    <w:rsid w:val="00356DAE"/>
    <w:rsid w:val="00361AD1"/>
    <w:rsid w:val="0036230A"/>
    <w:rsid w:val="0036452E"/>
    <w:rsid w:val="003935DE"/>
    <w:rsid w:val="00394E3C"/>
    <w:rsid w:val="00395F0E"/>
    <w:rsid w:val="003A1562"/>
    <w:rsid w:val="003A3517"/>
    <w:rsid w:val="003A444D"/>
    <w:rsid w:val="003B0497"/>
    <w:rsid w:val="003B4DFE"/>
    <w:rsid w:val="003B6639"/>
    <w:rsid w:val="003B6F09"/>
    <w:rsid w:val="003C354B"/>
    <w:rsid w:val="003C428A"/>
    <w:rsid w:val="003D134B"/>
    <w:rsid w:val="003D18DE"/>
    <w:rsid w:val="003D764F"/>
    <w:rsid w:val="003E0010"/>
    <w:rsid w:val="003E13F6"/>
    <w:rsid w:val="003F0892"/>
    <w:rsid w:val="003F1E11"/>
    <w:rsid w:val="003F7406"/>
    <w:rsid w:val="004011ED"/>
    <w:rsid w:val="00405CC5"/>
    <w:rsid w:val="00407F1E"/>
    <w:rsid w:val="004129A5"/>
    <w:rsid w:val="00412FF0"/>
    <w:rsid w:val="00414010"/>
    <w:rsid w:val="00430F4F"/>
    <w:rsid w:val="004360DA"/>
    <w:rsid w:val="00437ECD"/>
    <w:rsid w:val="00440A71"/>
    <w:rsid w:val="00446CC5"/>
    <w:rsid w:val="004555DC"/>
    <w:rsid w:val="004558B0"/>
    <w:rsid w:val="004558E3"/>
    <w:rsid w:val="00456555"/>
    <w:rsid w:val="00467C42"/>
    <w:rsid w:val="00471EB3"/>
    <w:rsid w:val="004769E7"/>
    <w:rsid w:val="00484035"/>
    <w:rsid w:val="0048626C"/>
    <w:rsid w:val="004870A2"/>
    <w:rsid w:val="004875A8"/>
    <w:rsid w:val="004911C0"/>
    <w:rsid w:val="00492F0C"/>
    <w:rsid w:val="004A0CF4"/>
    <w:rsid w:val="004A131A"/>
    <w:rsid w:val="004A37BD"/>
    <w:rsid w:val="004A79AB"/>
    <w:rsid w:val="004B27A9"/>
    <w:rsid w:val="004B27B5"/>
    <w:rsid w:val="004B358B"/>
    <w:rsid w:val="004B6D1D"/>
    <w:rsid w:val="004B758A"/>
    <w:rsid w:val="004C3780"/>
    <w:rsid w:val="004D09B4"/>
    <w:rsid w:val="004D50D2"/>
    <w:rsid w:val="004D6B56"/>
    <w:rsid w:val="004E2ABD"/>
    <w:rsid w:val="004E6845"/>
    <w:rsid w:val="004F6473"/>
    <w:rsid w:val="004F7FF1"/>
    <w:rsid w:val="005043E2"/>
    <w:rsid w:val="00504817"/>
    <w:rsid w:val="0050541F"/>
    <w:rsid w:val="00510A09"/>
    <w:rsid w:val="00512173"/>
    <w:rsid w:val="00512CF0"/>
    <w:rsid w:val="00530521"/>
    <w:rsid w:val="005308F3"/>
    <w:rsid w:val="005444C3"/>
    <w:rsid w:val="00545291"/>
    <w:rsid w:val="005459CF"/>
    <w:rsid w:val="00545C11"/>
    <w:rsid w:val="00562D36"/>
    <w:rsid w:val="00577E99"/>
    <w:rsid w:val="00583E37"/>
    <w:rsid w:val="005842F1"/>
    <w:rsid w:val="00590020"/>
    <w:rsid w:val="005979E3"/>
    <w:rsid w:val="005A0E80"/>
    <w:rsid w:val="005A56D1"/>
    <w:rsid w:val="005B09A8"/>
    <w:rsid w:val="005B52B6"/>
    <w:rsid w:val="005B619B"/>
    <w:rsid w:val="005C1B51"/>
    <w:rsid w:val="005C489E"/>
    <w:rsid w:val="005C7F43"/>
    <w:rsid w:val="005D7F11"/>
    <w:rsid w:val="005E2AD2"/>
    <w:rsid w:val="005E7327"/>
    <w:rsid w:val="005F0CEA"/>
    <w:rsid w:val="005F1CF3"/>
    <w:rsid w:val="005F3D35"/>
    <w:rsid w:val="005F7E58"/>
    <w:rsid w:val="00604ED9"/>
    <w:rsid w:val="0060589B"/>
    <w:rsid w:val="00606EF4"/>
    <w:rsid w:val="00610145"/>
    <w:rsid w:val="0061225B"/>
    <w:rsid w:val="006154AC"/>
    <w:rsid w:val="0061618C"/>
    <w:rsid w:val="00617F0B"/>
    <w:rsid w:val="00620755"/>
    <w:rsid w:val="00620E1F"/>
    <w:rsid w:val="006215EC"/>
    <w:rsid w:val="00627873"/>
    <w:rsid w:val="00627F17"/>
    <w:rsid w:val="0063012C"/>
    <w:rsid w:val="006375B9"/>
    <w:rsid w:val="00642D88"/>
    <w:rsid w:val="0064534A"/>
    <w:rsid w:val="00651469"/>
    <w:rsid w:val="00655611"/>
    <w:rsid w:val="0065757B"/>
    <w:rsid w:val="00661317"/>
    <w:rsid w:val="00666CF3"/>
    <w:rsid w:val="00670DFF"/>
    <w:rsid w:val="00673CF4"/>
    <w:rsid w:val="0067705A"/>
    <w:rsid w:val="00680628"/>
    <w:rsid w:val="006813BB"/>
    <w:rsid w:val="00693AEC"/>
    <w:rsid w:val="00694B15"/>
    <w:rsid w:val="006973C9"/>
    <w:rsid w:val="00697C78"/>
    <w:rsid w:val="006A26B6"/>
    <w:rsid w:val="006A2B37"/>
    <w:rsid w:val="006B4F69"/>
    <w:rsid w:val="006C2E1F"/>
    <w:rsid w:val="006C610C"/>
    <w:rsid w:val="006C7ACD"/>
    <w:rsid w:val="006D2482"/>
    <w:rsid w:val="006E0949"/>
    <w:rsid w:val="006E0C59"/>
    <w:rsid w:val="006E74D7"/>
    <w:rsid w:val="00700A1A"/>
    <w:rsid w:val="00703094"/>
    <w:rsid w:val="00703906"/>
    <w:rsid w:val="0070500A"/>
    <w:rsid w:val="0070608D"/>
    <w:rsid w:val="00711959"/>
    <w:rsid w:val="00713D8D"/>
    <w:rsid w:val="00716C5A"/>
    <w:rsid w:val="007172F4"/>
    <w:rsid w:val="00721FD7"/>
    <w:rsid w:val="007254C9"/>
    <w:rsid w:val="0073053A"/>
    <w:rsid w:val="00736B29"/>
    <w:rsid w:val="00740841"/>
    <w:rsid w:val="007521DE"/>
    <w:rsid w:val="0075328E"/>
    <w:rsid w:val="00764CA4"/>
    <w:rsid w:val="00767A66"/>
    <w:rsid w:val="007839F4"/>
    <w:rsid w:val="00795EF2"/>
    <w:rsid w:val="00795FF3"/>
    <w:rsid w:val="007970DD"/>
    <w:rsid w:val="007A7FD6"/>
    <w:rsid w:val="007B259A"/>
    <w:rsid w:val="007B5DB6"/>
    <w:rsid w:val="007C5E26"/>
    <w:rsid w:val="007C6115"/>
    <w:rsid w:val="007D2335"/>
    <w:rsid w:val="007D33C8"/>
    <w:rsid w:val="007D5DBE"/>
    <w:rsid w:val="007D69B9"/>
    <w:rsid w:val="007E0367"/>
    <w:rsid w:val="007E221F"/>
    <w:rsid w:val="007E6513"/>
    <w:rsid w:val="007F6068"/>
    <w:rsid w:val="0080133B"/>
    <w:rsid w:val="0080141D"/>
    <w:rsid w:val="008066FE"/>
    <w:rsid w:val="00814539"/>
    <w:rsid w:val="00822C8B"/>
    <w:rsid w:val="00822D7C"/>
    <w:rsid w:val="00823951"/>
    <w:rsid w:val="00827505"/>
    <w:rsid w:val="0083464A"/>
    <w:rsid w:val="00835362"/>
    <w:rsid w:val="00840B30"/>
    <w:rsid w:val="00843596"/>
    <w:rsid w:val="00843CB5"/>
    <w:rsid w:val="008564F7"/>
    <w:rsid w:val="0086556E"/>
    <w:rsid w:val="008823EC"/>
    <w:rsid w:val="00882F85"/>
    <w:rsid w:val="00886532"/>
    <w:rsid w:val="00890BCF"/>
    <w:rsid w:val="00891148"/>
    <w:rsid w:val="00893392"/>
    <w:rsid w:val="008A7247"/>
    <w:rsid w:val="008A7342"/>
    <w:rsid w:val="008B61F3"/>
    <w:rsid w:val="008B63E1"/>
    <w:rsid w:val="008B76EB"/>
    <w:rsid w:val="008C338E"/>
    <w:rsid w:val="008C6CD3"/>
    <w:rsid w:val="008C72AE"/>
    <w:rsid w:val="008D6E08"/>
    <w:rsid w:val="008D71C1"/>
    <w:rsid w:val="008F18B5"/>
    <w:rsid w:val="008F3ED3"/>
    <w:rsid w:val="009008EF"/>
    <w:rsid w:val="00903DC3"/>
    <w:rsid w:val="00904280"/>
    <w:rsid w:val="009063DC"/>
    <w:rsid w:val="00906761"/>
    <w:rsid w:val="009203DF"/>
    <w:rsid w:val="0092071C"/>
    <w:rsid w:val="00921586"/>
    <w:rsid w:val="009215FB"/>
    <w:rsid w:val="00931D75"/>
    <w:rsid w:val="00936B21"/>
    <w:rsid w:val="00942CE8"/>
    <w:rsid w:val="00953003"/>
    <w:rsid w:val="0096471E"/>
    <w:rsid w:val="00966C92"/>
    <w:rsid w:val="00970D77"/>
    <w:rsid w:val="009765FD"/>
    <w:rsid w:val="00977554"/>
    <w:rsid w:val="00980202"/>
    <w:rsid w:val="00983820"/>
    <w:rsid w:val="00987AFF"/>
    <w:rsid w:val="00990914"/>
    <w:rsid w:val="009A3CF5"/>
    <w:rsid w:val="009A446D"/>
    <w:rsid w:val="009C5962"/>
    <w:rsid w:val="009C626F"/>
    <w:rsid w:val="009C6DD6"/>
    <w:rsid w:val="009D4806"/>
    <w:rsid w:val="009D513A"/>
    <w:rsid w:val="009E3DE1"/>
    <w:rsid w:val="009E5C8B"/>
    <w:rsid w:val="009F0C08"/>
    <w:rsid w:val="009F106C"/>
    <w:rsid w:val="009F3BFF"/>
    <w:rsid w:val="009F452F"/>
    <w:rsid w:val="009F6F4C"/>
    <w:rsid w:val="009F7F87"/>
    <w:rsid w:val="00A00DFF"/>
    <w:rsid w:val="00A014FE"/>
    <w:rsid w:val="00A06920"/>
    <w:rsid w:val="00A06E30"/>
    <w:rsid w:val="00A1126B"/>
    <w:rsid w:val="00A11AB5"/>
    <w:rsid w:val="00A12AE0"/>
    <w:rsid w:val="00A241DC"/>
    <w:rsid w:val="00A324DC"/>
    <w:rsid w:val="00A366EB"/>
    <w:rsid w:val="00A36C29"/>
    <w:rsid w:val="00A375E2"/>
    <w:rsid w:val="00A444F1"/>
    <w:rsid w:val="00A51257"/>
    <w:rsid w:val="00A5196B"/>
    <w:rsid w:val="00A60F94"/>
    <w:rsid w:val="00A615BA"/>
    <w:rsid w:val="00A707C3"/>
    <w:rsid w:val="00A70A46"/>
    <w:rsid w:val="00A7240E"/>
    <w:rsid w:val="00A7451E"/>
    <w:rsid w:val="00A749C8"/>
    <w:rsid w:val="00A749E4"/>
    <w:rsid w:val="00A75BFB"/>
    <w:rsid w:val="00A80026"/>
    <w:rsid w:val="00A85E51"/>
    <w:rsid w:val="00A867EC"/>
    <w:rsid w:val="00A87067"/>
    <w:rsid w:val="00AA013F"/>
    <w:rsid w:val="00AA2DC0"/>
    <w:rsid w:val="00AB21FF"/>
    <w:rsid w:val="00AB25CB"/>
    <w:rsid w:val="00AB39D2"/>
    <w:rsid w:val="00AB5729"/>
    <w:rsid w:val="00AB60A0"/>
    <w:rsid w:val="00AB719D"/>
    <w:rsid w:val="00AD0186"/>
    <w:rsid w:val="00AD10AA"/>
    <w:rsid w:val="00AE3169"/>
    <w:rsid w:val="00AE7E0E"/>
    <w:rsid w:val="00AF27CA"/>
    <w:rsid w:val="00AF2A31"/>
    <w:rsid w:val="00AF78BD"/>
    <w:rsid w:val="00B02EB6"/>
    <w:rsid w:val="00B042D9"/>
    <w:rsid w:val="00B13032"/>
    <w:rsid w:val="00B15E37"/>
    <w:rsid w:val="00B17CC8"/>
    <w:rsid w:val="00B21179"/>
    <w:rsid w:val="00B23DC4"/>
    <w:rsid w:val="00B26C2A"/>
    <w:rsid w:val="00B26D8A"/>
    <w:rsid w:val="00B2778F"/>
    <w:rsid w:val="00B35338"/>
    <w:rsid w:val="00B41425"/>
    <w:rsid w:val="00B4768D"/>
    <w:rsid w:val="00B47D46"/>
    <w:rsid w:val="00B57F95"/>
    <w:rsid w:val="00B61086"/>
    <w:rsid w:val="00B65F8E"/>
    <w:rsid w:val="00B666DF"/>
    <w:rsid w:val="00B71F22"/>
    <w:rsid w:val="00B7229C"/>
    <w:rsid w:val="00B72750"/>
    <w:rsid w:val="00B75526"/>
    <w:rsid w:val="00B77339"/>
    <w:rsid w:val="00B800C3"/>
    <w:rsid w:val="00B83691"/>
    <w:rsid w:val="00B83722"/>
    <w:rsid w:val="00B913D8"/>
    <w:rsid w:val="00B92785"/>
    <w:rsid w:val="00BA25CA"/>
    <w:rsid w:val="00BA398E"/>
    <w:rsid w:val="00BA5F83"/>
    <w:rsid w:val="00BA6936"/>
    <w:rsid w:val="00BB1850"/>
    <w:rsid w:val="00BC2855"/>
    <w:rsid w:val="00BC51AA"/>
    <w:rsid w:val="00BD1ED8"/>
    <w:rsid w:val="00BF2623"/>
    <w:rsid w:val="00BF435B"/>
    <w:rsid w:val="00BF4378"/>
    <w:rsid w:val="00C00A67"/>
    <w:rsid w:val="00C01258"/>
    <w:rsid w:val="00C0494A"/>
    <w:rsid w:val="00C073E9"/>
    <w:rsid w:val="00C07FF2"/>
    <w:rsid w:val="00C1129A"/>
    <w:rsid w:val="00C13946"/>
    <w:rsid w:val="00C14063"/>
    <w:rsid w:val="00C150CB"/>
    <w:rsid w:val="00C15A3C"/>
    <w:rsid w:val="00C2185D"/>
    <w:rsid w:val="00C304EB"/>
    <w:rsid w:val="00C3368F"/>
    <w:rsid w:val="00C409BE"/>
    <w:rsid w:val="00C41200"/>
    <w:rsid w:val="00C61FDA"/>
    <w:rsid w:val="00C716EA"/>
    <w:rsid w:val="00C71F22"/>
    <w:rsid w:val="00C7257C"/>
    <w:rsid w:val="00C72B46"/>
    <w:rsid w:val="00C72CE4"/>
    <w:rsid w:val="00C8314F"/>
    <w:rsid w:val="00C85133"/>
    <w:rsid w:val="00C855FD"/>
    <w:rsid w:val="00C90227"/>
    <w:rsid w:val="00C9194E"/>
    <w:rsid w:val="00C945B7"/>
    <w:rsid w:val="00C9799C"/>
    <w:rsid w:val="00CA24B5"/>
    <w:rsid w:val="00CA3A38"/>
    <w:rsid w:val="00CA7EB2"/>
    <w:rsid w:val="00CB34E0"/>
    <w:rsid w:val="00CB5B9A"/>
    <w:rsid w:val="00CC0B26"/>
    <w:rsid w:val="00CC4721"/>
    <w:rsid w:val="00CC51A0"/>
    <w:rsid w:val="00CC6922"/>
    <w:rsid w:val="00CD0F74"/>
    <w:rsid w:val="00CD28E9"/>
    <w:rsid w:val="00CD3C83"/>
    <w:rsid w:val="00CD5217"/>
    <w:rsid w:val="00CD6523"/>
    <w:rsid w:val="00CE206E"/>
    <w:rsid w:val="00CE2A61"/>
    <w:rsid w:val="00CE5982"/>
    <w:rsid w:val="00CE7EC2"/>
    <w:rsid w:val="00CF0545"/>
    <w:rsid w:val="00CF117B"/>
    <w:rsid w:val="00CF3655"/>
    <w:rsid w:val="00CF3DE0"/>
    <w:rsid w:val="00CF5E2B"/>
    <w:rsid w:val="00D02340"/>
    <w:rsid w:val="00D06502"/>
    <w:rsid w:val="00D150D4"/>
    <w:rsid w:val="00D26949"/>
    <w:rsid w:val="00D31146"/>
    <w:rsid w:val="00D31704"/>
    <w:rsid w:val="00D42DE3"/>
    <w:rsid w:val="00D50922"/>
    <w:rsid w:val="00D5299A"/>
    <w:rsid w:val="00D543AB"/>
    <w:rsid w:val="00D545B5"/>
    <w:rsid w:val="00D5564D"/>
    <w:rsid w:val="00D63D83"/>
    <w:rsid w:val="00D77E7A"/>
    <w:rsid w:val="00D82360"/>
    <w:rsid w:val="00D840EE"/>
    <w:rsid w:val="00D849A1"/>
    <w:rsid w:val="00D91365"/>
    <w:rsid w:val="00D91A2E"/>
    <w:rsid w:val="00DA2033"/>
    <w:rsid w:val="00DA2FE0"/>
    <w:rsid w:val="00DB1082"/>
    <w:rsid w:val="00DC2A76"/>
    <w:rsid w:val="00DC3039"/>
    <w:rsid w:val="00DC308E"/>
    <w:rsid w:val="00DC631F"/>
    <w:rsid w:val="00DD2336"/>
    <w:rsid w:val="00DE0D46"/>
    <w:rsid w:val="00DE5D92"/>
    <w:rsid w:val="00DE6E9F"/>
    <w:rsid w:val="00DF1E38"/>
    <w:rsid w:val="00E0585E"/>
    <w:rsid w:val="00E153C8"/>
    <w:rsid w:val="00E15B05"/>
    <w:rsid w:val="00E15C8C"/>
    <w:rsid w:val="00E24D06"/>
    <w:rsid w:val="00E32B49"/>
    <w:rsid w:val="00E4344D"/>
    <w:rsid w:val="00E47240"/>
    <w:rsid w:val="00E47CA2"/>
    <w:rsid w:val="00E50202"/>
    <w:rsid w:val="00E50AB7"/>
    <w:rsid w:val="00E52141"/>
    <w:rsid w:val="00E5445F"/>
    <w:rsid w:val="00E546B7"/>
    <w:rsid w:val="00E547D7"/>
    <w:rsid w:val="00E72430"/>
    <w:rsid w:val="00E72DFB"/>
    <w:rsid w:val="00E73950"/>
    <w:rsid w:val="00E843B2"/>
    <w:rsid w:val="00E843B5"/>
    <w:rsid w:val="00E87A22"/>
    <w:rsid w:val="00E87F04"/>
    <w:rsid w:val="00E9112B"/>
    <w:rsid w:val="00E933D1"/>
    <w:rsid w:val="00E94357"/>
    <w:rsid w:val="00E94913"/>
    <w:rsid w:val="00EA4677"/>
    <w:rsid w:val="00EB2FF3"/>
    <w:rsid w:val="00EB3AB1"/>
    <w:rsid w:val="00EC3405"/>
    <w:rsid w:val="00EC469D"/>
    <w:rsid w:val="00EC47FD"/>
    <w:rsid w:val="00EC655C"/>
    <w:rsid w:val="00EE5C28"/>
    <w:rsid w:val="00EE76ED"/>
    <w:rsid w:val="00EF34AD"/>
    <w:rsid w:val="00EF6010"/>
    <w:rsid w:val="00F004F3"/>
    <w:rsid w:val="00F02D9C"/>
    <w:rsid w:val="00F109AE"/>
    <w:rsid w:val="00F136AD"/>
    <w:rsid w:val="00F16B88"/>
    <w:rsid w:val="00F16DF0"/>
    <w:rsid w:val="00F16FF2"/>
    <w:rsid w:val="00F200CB"/>
    <w:rsid w:val="00F23EC7"/>
    <w:rsid w:val="00F35A89"/>
    <w:rsid w:val="00F41AF7"/>
    <w:rsid w:val="00F4774C"/>
    <w:rsid w:val="00F50092"/>
    <w:rsid w:val="00F511DE"/>
    <w:rsid w:val="00F542BB"/>
    <w:rsid w:val="00F55E98"/>
    <w:rsid w:val="00F67899"/>
    <w:rsid w:val="00F77E2C"/>
    <w:rsid w:val="00F859A6"/>
    <w:rsid w:val="00F86803"/>
    <w:rsid w:val="00F87A07"/>
    <w:rsid w:val="00F90252"/>
    <w:rsid w:val="00F93A64"/>
    <w:rsid w:val="00F94289"/>
    <w:rsid w:val="00F97C0F"/>
    <w:rsid w:val="00FA2E07"/>
    <w:rsid w:val="00FB06B9"/>
    <w:rsid w:val="00FB2817"/>
    <w:rsid w:val="00FB2D4F"/>
    <w:rsid w:val="00FB39F9"/>
    <w:rsid w:val="00FB7C56"/>
    <w:rsid w:val="00FC60B3"/>
    <w:rsid w:val="00FD22B3"/>
    <w:rsid w:val="00FD3A52"/>
    <w:rsid w:val="00FF411D"/>
    <w:rsid w:val="00FF5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9D"/>
    <w:rPr>
      <w:lang w:val="lv-LV"/>
    </w:rPr>
  </w:style>
  <w:style w:type="paragraph" w:styleId="Heading1">
    <w:name w:val="heading 1"/>
    <w:basedOn w:val="Normal"/>
    <w:next w:val="Heading2"/>
    <w:link w:val="Heading1Char"/>
    <w:autoRedefine/>
    <w:qFormat/>
    <w:rsid w:val="00EC3405"/>
    <w:pPr>
      <w:keepNext/>
      <w:pageBreakBefore/>
      <w:numPr>
        <w:numId w:val="18"/>
      </w:numPr>
      <w:tabs>
        <w:tab w:val="left" w:pos="851"/>
      </w:tabs>
      <w:spacing w:after="500" w:line="240" w:lineRule="auto"/>
      <w:outlineLvl w:val="0"/>
    </w:pPr>
    <w:rPr>
      <w:rFonts w:ascii="Times New Roman" w:eastAsia="Times New Roman" w:hAnsi="Times New Roman" w:cs="Times New Roman"/>
      <w:b/>
      <w:bCs/>
      <w:color w:val="00338D"/>
      <w:kern w:val="32"/>
      <w:sz w:val="44"/>
      <w:szCs w:val="44"/>
    </w:rPr>
  </w:style>
  <w:style w:type="paragraph" w:styleId="Heading2">
    <w:name w:val="heading 2"/>
    <w:basedOn w:val="Normal"/>
    <w:next w:val="Heading3"/>
    <w:link w:val="Heading2Char"/>
    <w:qFormat/>
    <w:rsid w:val="00EC3405"/>
    <w:pPr>
      <w:keepNext/>
      <w:numPr>
        <w:ilvl w:val="1"/>
        <w:numId w:val="18"/>
      </w:numPr>
      <w:tabs>
        <w:tab w:val="left" w:pos="1134"/>
      </w:tabs>
      <w:spacing w:before="280" w:after="140" w:line="240" w:lineRule="auto"/>
      <w:outlineLvl w:val="1"/>
    </w:pPr>
    <w:rPr>
      <w:rFonts w:ascii="Times New Roman" w:hAnsi="Times New Roman"/>
      <w:b/>
      <w:color w:val="00338D"/>
      <w:sz w:val="28"/>
      <w:lang w:val="en-GB"/>
    </w:rPr>
  </w:style>
  <w:style w:type="paragraph" w:styleId="Heading3">
    <w:name w:val="heading 3"/>
    <w:basedOn w:val="Normal"/>
    <w:next w:val="Normal"/>
    <w:link w:val="Heading3Char"/>
    <w:qFormat/>
    <w:rsid w:val="00EC3405"/>
    <w:pPr>
      <w:keepNext/>
      <w:numPr>
        <w:ilvl w:val="2"/>
        <w:numId w:val="18"/>
      </w:numPr>
      <w:tabs>
        <w:tab w:val="left" w:pos="1134"/>
      </w:tabs>
      <w:spacing w:before="140" w:after="0" w:line="240" w:lineRule="auto"/>
      <w:outlineLvl w:val="2"/>
    </w:pPr>
    <w:rPr>
      <w:rFonts w:ascii="Times New Roman" w:eastAsia="Times New Roman" w:hAnsi="Times New Roman" w:cs="Times New Roman"/>
      <w:color w:val="1F497D" w:themeColor="text2"/>
      <w:sz w:val="24"/>
      <w:szCs w:val="24"/>
      <w:lang w:val="en-GB"/>
    </w:rPr>
  </w:style>
  <w:style w:type="paragraph" w:styleId="Heading4">
    <w:name w:val="heading 4"/>
    <w:basedOn w:val="Normal"/>
    <w:next w:val="Normal"/>
    <w:link w:val="Heading4Char"/>
    <w:qFormat/>
    <w:rsid w:val="00EC3405"/>
    <w:pPr>
      <w:keepNext/>
      <w:numPr>
        <w:ilvl w:val="3"/>
        <w:numId w:val="18"/>
      </w:numPr>
      <w:tabs>
        <w:tab w:val="left" w:pos="1134"/>
      </w:tabs>
      <w:spacing w:before="140" w:after="0" w:line="240" w:lineRule="auto"/>
      <w:outlineLvl w:val="3"/>
    </w:pPr>
    <w:rPr>
      <w:rFonts w:ascii="Times New Roman" w:eastAsia="Times New Roman" w:hAnsi="Times New Roman" w:cs="Times New Roman"/>
      <w:color w:val="1F497D" w:themeColor="text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E2C"/>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D63D83"/>
    <w:rPr>
      <w:sz w:val="16"/>
      <w:szCs w:val="16"/>
    </w:rPr>
  </w:style>
  <w:style w:type="paragraph" w:styleId="CommentText">
    <w:name w:val="annotation text"/>
    <w:basedOn w:val="Normal"/>
    <w:link w:val="CommentTextChar"/>
    <w:uiPriority w:val="99"/>
    <w:semiHidden/>
    <w:unhideWhenUsed/>
    <w:rsid w:val="00D63D83"/>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D63D83"/>
    <w:rPr>
      <w:sz w:val="20"/>
      <w:szCs w:val="20"/>
    </w:rPr>
  </w:style>
  <w:style w:type="paragraph" w:styleId="BalloonText">
    <w:name w:val="Balloon Text"/>
    <w:basedOn w:val="Normal"/>
    <w:link w:val="BalloonTextChar"/>
    <w:uiPriority w:val="99"/>
    <w:semiHidden/>
    <w:unhideWhenUsed/>
    <w:rsid w:val="00D6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D83"/>
    <w:rPr>
      <w:rFonts w:ascii="Tahoma" w:hAnsi="Tahoma" w:cs="Tahoma"/>
      <w:sz w:val="16"/>
      <w:szCs w:val="16"/>
      <w:lang w:val="lv-LV"/>
    </w:rPr>
  </w:style>
  <w:style w:type="paragraph" w:styleId="CommentSubject">
    <w:name w:val="annotation subject"/>
    <w:basedOn w:val="CommentText"/>
    <w:next w:val="CommentText"/>
    <w:link w:val="CommentSubjectChar"/>
    <w:uiPriority w:val="99"/>
    <w:semiHidden/>
    <w:unhideWhenUsed/>
    <w:rsid w:val="00191E71"/>
    <w:pPr>
      <w:spacing w:after="120"/>
    </w:pPr>
    <w:rPr>
      <w:b/>
      <w:bCs/>
      <w:lang w:val="lv-LV"/>
    </w:rPr>
  </w:style>
  <w:style w:type="character" w:customStyle="1" w:styleId="CommentSubjectChar">
    <w:name w:val="Comment Subject Char"/>
    <w:basedOn w:val="CommentTextChar"/>
    <w:link w:val="CommentSubject"/>
    <w:uiPriority w:val="99"/>
    <w:semiHidden/>
    <w:rsid w:val="00191E71"/>
    <w:rPr>
      <w:b/>
      <w:bCs/>
      <w:sz w:val="20"/>
      <w:szCs w:val="20"/>
      <w:lang w:val="lv-LV"/>
    </w:rPr>
  </w:style>
  <w:style w:type="paragraph" w:styleId="Header">
    <w:name w:val="header"/>
    <w:basedOn w:val="Normal"/>
    <w:link w:val="HeaderChar"/>
    <w:uiPriority w:val="99"/>
    <w:unhideWhenUsed/>
    <w:rsid w:val="00E9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913"/>
    <w:rPr>
      <w:lang w:val="lv-LV"/>
    </w:rPr>
  </w:style>
  <w:style w:type="paragraph" w:styleId="Footer">
    <w:name w:val="footer"/>
    <w:basedOn w:val="Normal"/>
    <w:link w:val="FooterChar"/>
    <w:uiPriority w:val="99"/>
    <w:unhideWhenUsed/>
    <w:rsid w:val="00E9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13"/>
    <w:rPr>
      <w:lang w:val="lv-LV"/>
    </w:rPr>
  </w:style>
  <w:style w:type="paragraph" w:styleId="Revision">
    <w:name w:val="Revision"/>
    <w:hidden/>
    <w:uiPriority w:val="99"/>
    <w:semiHidden/>
    <w:rsid w:val="00DC2A76"/>
    <w:pPr>
      <w:spacing w:after="0" w:line="240" w:lineRule="auto"/>
    </w:pPr>
    <w:rPr>
      <w:lang w:val="lv-LV"/>
    </w:rPr>
  </w:style>
  <w:style w:type="paragraph" w:styleId="BodyText">
    <w:name w:val="Body Text"/>
    <w:aliases w:val="b,uvlaka 3, uvlaka 3,plain,plain Char,b1,uvlaka 31, uvlaka 31"/>
    <w:basedOn w:val="Normal"/>
    <w:link w:val="BodyTextChar"/>
    <w:rsid w:val="00FF411D"/>
    <w:pPr>
      <w:widowControl w:val="0"/>
      <w:spacing w:line="240" w:lineRule="auto"/>
    </w:pPr>
    <w:rPr>
      <w:rFonts w:ascii="RimTimes" w:eastAsia="Times New Roman" w:hAnsi="RimTimes" w:cs="Times New Roman"/>
      <w:sz w:val="24"/>
      <w:szCs w:val="20"/>
      <w:lang w:val="en-US"/>
    </w:rPr>
  </w:style>
  <w:style w:type="character" w:customStyle="1" w:styleId="BodyTextChar">
    <w:name w:val="Body Text Char"/>
    <w:aliases w:val="b Char,uvlaka 3 Char, uvlaka 3 Char,plain Char1,plain Char Char,b1 Char,uvlaka 31 Char, uvlaka 31 Char"/>
    <w:basedOn w:val="DefaultParagraphFont"/>
    <w:link w:val="BodyText"/>
    <w:rsid w:val="00FF411D"/>
    <w:rPr>
      <w:rFonts w:ascii="RimTimes" w:eastAsia="Times New Roman" w:hAnsi="RimTimes" w:cs="Times New Roman"/>
      <w:sz w:val="24"/>
      <w:szCs w:val="20"/>
    </w:rPr>
  </w:style>
  <w:style w:type="paragraph" w:customStyle="1" w:styleId="Default">
    <w:name w:val="Default"/>
    <w:rsid w:val="009203DF"/>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EC3405"/>
    <w:rPr>
      <w:b/>
      <w:bCs/>
    </w:rPr>
  </w:style>
  <w:style w:type="character" w:customStyle="1" w:styleId="Heading1Char">
    <w:name w:val="Heading 1 Char"/>
    <w:basedOn w:val="DefaultParagraphFont"/>
    <w:link w:val="Heading1"/>
    <w:rsid w:val="00EC3405"/>
    <w:rPr>
      <w:rFonts w:ascii="Times New Roman" w:eastAsia="Times New Roman" w:hAnsi="Times New Roman" w:cs="Times New Roman"/>
      <w:b/>
      <w:bCs/>
      <w:color w:val="00338D"/>
      <w:kern w:val="32"/>
      <w:sz w:val="44"/>
      <w:szCs w:val="44"/>
      <w:lang w:val="lv-LV"/>
    </w:rPr>
  </w:style>
  <w:style w:type="character" w:customStyle="1" w:styleId="Heading2Char">
    <w:name w:val="Heading 2 Char"/>
    <w:basedOn w:val="DefaultParagraphFont"/>
    <w:link w:val="Heading2"/>
    <w:rsid w:val="00EC3405"/>
    <w:rPr>
      <w:rFonts w:ascii="Times New Roman" w:hAnsi="Times New Roman"/>
      <w:b/>
      <w:color w:val="00338D"/>
      <w:sz w:val="28"/>
      <w:lang w:val="en-GB"/>
    </w:rPr>
  </w:style>
  <w:style w:type="character" w:customStyle="1" w:styleId="Heading3Char">
    <w:name w:val="Heading 3 Char"/>
    <w:basedOn w:val="DefaultParagraphFont"/>
    <w:link w:val="Heading3"/>
    <w:rsid w:val="00EC3405"/>
    <w:rPr>
      <w:rFonts w:ascii="Times New Roman" w:eastAsia="Times New Roman" w:hAnsi="Times New Roman" w:cs="Times New Roman"/>
      <w:color w:val="1F497D" w:themeColor="text2"/>
      <w:sz w:val="24"/>
      <w:szCs w:val="24"/>
      <w:lang w:val="en-GB"/>
    </w:rPr>
  </w:style>
  <w:style w:type="character" w:customStyle="1" w:styleId="Heading4Char">
    <w:name w:val="Heading 4 Char"/>
    <w:basedOn w:val="DefaultParagraphFont"/>
    <w:link w:val="Heading4"/>
    <w:rsid w:val="00EC3405"/>
    <w:rPr>
      <w:rFonts w:ascii="Times New Roman" w:eastAsia="Times New Roman" w:hAnsi="Times New Roman" w:cs="Times New Roman"/>
      <w:color w:val="1F497D" w:themeColor="text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CCEFE2.637AA0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4F8FD-1FC4-44A0-B271-1ACCB914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2014-11-07T06:58:00Z</cp:lastPrinted>
  <dcterms:created xsi:type="dcterms:W3CDTF">2014-11-07T06:58:00Z</dcterms:created>
  <dcterms:modified xsi:type="dcterms:W3CDTF">2015-09-28T16:21:00Z</dcterms:modified>
</cp:coreProperties>
</file>