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F23A8" w:rsidRDefault="00935D6E" w:rsidP="000F799F">
      <w:pPr>
        <w:rPr>
          <w:b/>
          <w:bCs/>
        </w:rPr>
      </w:pPr>
      <w:r w:rsidRPr="00E86AF6">
        <w:rPr>
          <w:b/>
          <w:bCs/>
          <w:u w:val="single"/>
        </w:rPr>
        <w:t>Uzaicinājums iepirkumam LU CFI 201</w:t>
      </w:r>
      <w:r w:rsidR="00A77E3A">
        <w:rPr>
          <w:b/>
          <w:bCs/>
          <w:u w:val="single"/>
        </w:rPr>
        <w:t>5</w:t>
      </w:r>
      <w:r w:rsidRPr="00E86AF6">
        <w:rPr>
          <w:b/>
          <w:bCs/>
          <w:u w:val="single"/>
        </w:rPr>
        <w:t>/</w:t>
      </w:r>
      <w:r w:rsidR="00554ED6">
        <w:rPr>
          <w:b/>
          <w:bCs/>
          <w:u w:val="single"/>
        </w:rPr>
        <w:t>31</w:t>
      </w:r>
    </w:p>
    <w:p w:rsidR="00935D6E" w:rsidRPr="00B91A7B" w:rsidRDefault="000872D4" w:rsidP="000F799F">
      <w:pPr>
        <w:spacing w:before="120" w:after="120"/>
        <w:rPr>
          <w:sz w:val="22"/>
          <w:szCs w:val="22"/>
        </w:rPr>
      </w:pPr>
      <w:r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Pr="000872D4">
        <w:rPr>
          <w:sz w:val="22"/>
          <w:szCs w:val="22"/>
        </w:rPr>
        <w:t>ISSP@cfi.lu.lv</w:t>
      </w:r>
      <w:proofErr w:type="spellEnd"/>
      <w:r w:rsidRPr="000872D4">
        <w:rPr>
          <w:sz w:val="22"/>
          <w:szCs w:val="22"/>
        </w:rPr>
        <w:t xml:space="preserve">, mājas lapa: </w:t>
      </w:r>
      <w:proofErr w:type="spellStart"/>
      <w:r w:rsidRPr="000872D4">
        <w:rPr>
          <w:sz w:val="22"/>
          <w:szCs w:val="22"/>
        </w:rPr>
        <w:t>www.cfi.lu.lv</w:t>
      </w:r>
      <w:proofErr w:type="spellEnd"/>
      <w:r w:rsidRPr="000872D4">
        <w:rPr>
          <w:sz w:val="22"/>
          <w:szCs w:val="22"/>
        </w:rPr>
        <w:t xml:space="preserve">. Iepirkumu organizē un realizē LU CFI iepirkumu komisija, kas izveidota ar LU CFI direktora </w:t>
      </w:r>
      <w:r w:rsidR="00A77E3A">
        <w:rPr>
          <w:sz w:val="22"/>
          <w:szCs w:val="22"/>
        </w:rPr>
        <w:t>01.09</w:t>
      </w:r>
      <w:r w:rsidRPr="000872D4">
        <w:rPr>
          <w:sz w:val="22"/>
          <w:szCs w:val="22"/>
        </w:rPr>
        <w:t>.201</w:t>
      </w:r>
      <w:r w:rsidR="00A77E3A">
        <w:rPr>
          <w:sz w:val="22"/>
          <w:szCs w:val="22"/>
        </w:rPr>
        <w:t>4</w:t>
      </w:r>
      <w:r w:rsidRPr="000872D4">
        <w:rPr>
          <w:sz w:val="22"/>
          <w:szCs w:val="22"/>
        </w:rPr>
        <w:t xml:space="preserve">. rīkojumu Nr. 5-v. </w:t>
      </w:r>
      <w:r w:rsidR="00935D6E" w:rsidRPr="00E86AF6">
        <w:rPr>
          <w:sz w:val="22"/>
          <w:szCs w:val="22"/>
        </w:rPr>
        <w:t>Iepirkums tiek veikts atbilstoši Publisko iepirkumu likuma 8</w:t>
      </w:r>
      <w:r w:rsidR="00272D5B">
        <w:rPr>
          <w:sz w:val="22"/>
          <w:szCs w:val="22"/>
          <w:vertAlign w:val="superscript"/>
        </w:rPr>
        <w:t>2</w:t>
      </w:r>
      <w:r w:rsidR="00935D6E"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4C5492">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935D6E" w:rsidP="004C5492">
            <w:pPr>
              <w:jc w:val="center"/>
            </w:pPr>
            <w:r w:rsidRPr="00585473">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Informā-cijas</w:t>
            </w:r>
            <w:proofErr w:type="spellEnd"/>
            <w:r w:rsidRPr="004C5492">
              <w:rPr>
                <w:sz w:val="22"/>
                <w:szCs w:val="22"/>
              </w:rPr>
              <w:t xml:space="preserve"> </w:t>
            </w:r>
            <w:proofErr w:type="spellStart"/>
            <w:r w:rsidRPr="004C5492">
              <w:rPr>
                <w:sz w:val="22"/>
                <w:szCs w:val="22"/>
              </w:rPr>
              <w:t>ievie-tošanas</w:t>
            </w:r>
            <w:proofErr w:type="spellEnd"/>
            <w:r w:rsidRPr="004C5492">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Piedāvāju-</w:t>
            </w:r>
            <w:proofErr w:type="spellStart"/>
            <w:r w:rsidRPr="004C5492">
              <w:rPr>
                <w:sz w:val="22"/>
                <w:szCs w:val="22"/>
              </w:rPr>
              <w:t>mu</w:t>
            </w:r>
            <w:proofErr w:type="spellEnd"/>
            <w:r w:rsidRPr="004C5492">
              <w:rPr>
                <w:sz w:val="22"/>
                <w:szCs w:val="22"/>
              </w:rPr>
              <w:t xml:space="preserve"> iesnieg-</w:t>
            </w:r>
            <w:proofErr w:type="spellStart"/>
            <w:r w:rsidRPr="004C5492">
              <w:rPr>
                <w:sz w:val="22"/>
                <w:szCs w:val="22"/>
              </w:rPr>
              <w:t>šanas</w:t>
            </w:r>
            <w:proofErr w:type="spellEnd"/>
            <w:r w:rsidRPr="004C5492">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Iesnieg- to </w:t>
            </w:r>
            <w:proofErr w:type="spellStart"/>
            <w:r w:rsidRPr="004C5492">
              <w:rPr>
                <w:sz w:val="22"/>
                <w:szCs w:val="22"/>
              </w:rPr>
              <w:t>piedā-vājumu</w:t>
            </w:r>
            <w:proofErr w:type="spellEnd"/>
            <w:r w:rsidRPr="004C5492">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585473" w:rsidRDefault="002C1A9A" w:rsidP="00137C14">
            <w:pPr>
              <w:jc w:val="both"/>
            </w:pPr>
            <w:r w:rsidRPr="00585473">
              <w:t>Gāzu</w:t>
            </w:r>
            <w:r w:rsidR="00256DC0">
              <w:t xml:space="preserve"> un piederumu</w:t>
            </w:r>
            <w:r w:rsidRPr="00585473">
              <w:t xml:space="preserve"> piegāde </w:t>
            </w:r>
            <w:r w:rsidR="00137C14" w:rsidRPr="00585473">
              <w:t>atbilstoši Uzaicinājuma 2.pielikumā dotajai tehniskajai specifikācijai.</w:t>
            </w:r>
          </w:p>
          <w:p w:rsidR="0040559E" w:rsidRPr="00585473" w:rsidRDefault="0040559E" w:rsidP="0040559E">
            <w:pPr>
              <w:rPr>
                <w:color w:val="000000"/>
              </w:rPr>
            </w:pPr>
            <w:r w:rsidRPr="00585473">
              <w:rPr>
                <w:color w:val="000000"/>
              </w:rPr>
              <w:t>Paredzamais līguma termiņš</w:t>
            </w:r>
            <w:r w:rsidR="00137C14" w:rsidRPr="00585473">
              <w:rPr>
                <w:color w:val="000000"/>
              </w:rPr>
              <w:t>:</w:t>
            </w:r>
            <w:r w:rsidRPr="00585473">
              <w:rPr>
                <w:color w:val="000000"/>
              </w:rPr>
              <w:t xml:space="preserve"> </w:t>
            </w:r>
            <w:r w:rsidR="00554ED6">
              <w:rPr>
                <w:color w:val="000000"/>
              </w:rPr>
              <w:t>36</w:t>
            </w:r>
            <w:r w:rsidR="002E29D1" w:rsidRPr="00585473">
              <w:rPr>
                <w:color w:val="000000"/>
              </w:rPr>
              <w:t xml:space="preserve"> mēneši</w:t>
            </w:r>
            <w:r w:rsidRPr="00585473">
              <w:rPr>
                <w:color w:val="000000"/>
              </w:rPr>
              <w:t>.</w:t>
            </w:r>
          </w:p>
          <w:p w:rsidR="00935D6E" w:rsidRPr="0040559E" w:rsidRDefault="0040559E" w:rsidP="007018E6">
            <w:pPr>
              <w:jc w:val="both"/>
              <w:rPr>
                <w:sz w:val="22"/>
                <w:szCs w:val="22"/>
              </w:rPr>
            </w:pPr>
            <w:r w:rsidRPr="00585473">
              <w:rPr>
                <w:color w:val="000000"/>
              </w:rPr>
              <w:t xml:space="preserve">CPV kods: </w:t>
            </w:r>
            <w:r w:rsidR="00137C14" w:rsidRPr="00585473">
              <w:t>241</w:t>
            </w:r>
            <w:r w:rsidR="007018E6" w:rsidRPr="00585473">
              <w:t>00</w:t>
            </w:r>
            <w:r w:rsidR="00D86824" w:rsidRPr="00585473">
              <w:t>0</w:t>
            </w:r>
            <w:r w:rsidR="00137C14" w:rsidRPr="00585473">
              <w:t>00-</w:t>
            </w:r>
            <w:r w:rsidR="00D86824" w:rsidRPr="00585473">
              <w:t>5</w:t>
            </w:r>
            <w:r w:rsidR="00137C14" w:rsidRPr="00585473">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4919DC" w:rsidP="00987132">
            <w:pPr>
              <w:jc w:val="center"/>
              <w:rPr>
                <w:sz w:val="22"/>
                <w:szCs w:val="22"/>
              </w:rPr>
            </w:pPr>
            <w:r>
              <w:rPr>
                <w:sz w:val="22"/>
                <w:szCs w:val="22"/>
              </w:rPr>
              <w:t xml:space="preserve">Ap </w:t>
            </w:r>
            <w:r w:rsidR="00987132">
              <w:rPr>
                <w:sz w:val="22"/>
                <w:szCs w:val="22"/>
              </w:rPr>
              <w:t>3</w:t>
            </w:r>
            <w:r>
              <w:rPr>
                <w:sz w:val="22"/>
                <w:szCs w:val="22"/>
              </w:rPr>
              <w:t>00</w:t>
            </w:r>
            <w:r w:rsidR="0040559E">
              <w:rPr>
                <w:sz w:val="22"/>
                <w:szCs w:val="22"/>
              </w:rPr>
              <w:t xml:space="preserve"> e</w:t>
            </w:r>
            <w:r>
              <w:rPr>
                <w:sz w:val="22"/>
                <w:szCs w:val="22"/>
              </w:rPr>
              <w:t>i</w:t>
            </w:r>
            <w:r w:rsidR="0040559E">
              <w:rPr>
                <w:sz w:val="22"/>
                <w:szCs w:val="22"/>
              </w:rPr>
              <w:t>ro</w:t>
            </w:r>
            <w:r>
              <w:rPr>
                <w:sz w:val="22"/>
                <w:szCs w:val="22"/>
              </w:rPr>
              <w:t xml:space="preserve"> šim pirkumam</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554ED6" w:rsidP="00554ED6">
            <w:pPr>
              <w:jc w:val="center"/>
            </w:pPr>
            <w:r>
              <w:t>25</w:t>
            </w:r>
            <w:r w:rsidR="00256DC0">
              <w:t>.0</w:t>
            </w:r>
            <w:r>
              <w:t>6</w:t>
            </w:r>
            <w:r w:rsidR="00935D6E" w:rsidRPr="00585473">
              <w:t>. 201</w:t>
            </w:r>
            <w:r w:rsidR="00A77E3A" w:rsidRPr="00585473">
              <w:t>5</w:t>
            </w:r>
            <w:r w:rsidR="00935D6E" w:rsidRPr="00585473">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554ED6" w:rsidP="004C5492">
            <w:pPr>
              <w:jc w:val="center"/>
            </w:pPr>
            <w:r>
              <w:t>0</w:t>
            </w:r>
            <w:r w:rsidR="00C0239C">
              <w:t>6</w:t>
            </w:r>
            <w:bookmarkStart w:id="0" w:name="_GoBack"/>
            <w:bookmarkEnd w:id="0"/>
            <w:r>
              <w:t>.07</w:t>
            </w:r>
            <w:r w:rsidR="004C5492" w:rsidRPr="00585473">
              <w:t>.</w:t>
            </w:r>
            <w:r w:rsidR="002F0EA2" w:rsidRPr="00585473">
              <w:br/>
              <w:t>201</w:t>
            </w:r>
            <w:r w:rsidR="00A77E3A" w:rsidRPr="00585473">
              <w:t>5</w:t>
            </w:r>
            <w:r w:rsidR="00935D6E" w:rsidRPr="00585473">
              <w:t>.</w:t>
            </w:r>
          </w:p>
          <w:p w:rsidR="00935D6E" w:rsidRPr="00585473" w:rsidRDefault="00935D6E" w:rsidP="004C5492">
            <w:pPr>
              <w:jc w:val="center"/>
            </w:pPr>
            <w:r w:rsidRPr="00585473">
              <w:t>1</w:t>
            </w:r>
            <w:r w:rsidR="00FE4D7F" w:rsidRPr="00585473">
              <w:t>0</w:t>
            </w:r>
            <w:r w:rsidRPr="00585473">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Pr="00E86AF6" w:rsidRDefault="00935D6E"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935D6E" w:rsidRDefault="00935D6E" w:rsidP="000F799F">
      <w:pPr>
        <w:rPr>
          <w:sz w:val="22"/>
          <w:szCs w:val="22"/>
        </w:rPr>
      </w:pPr>
    </w:p>
    <w:p w:rsidR="00194F61" w:rsidRDefault="00194F61" w:rsidP="000F799F">
      <w:pPr>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A77E3A">
        <w:rPr>
          <w:sz w:val="22"/>
          <w:szCs w:val="22"/>
        </w:rPr>
        <w:t>5</w:t>
      </w:r>
      <w:r>
        <w:rPr>
          <w:sz w:val="22"/>
          <w:szCs w:val="22"/>
        </w:rPr>
        <w:t>/</w:t>
      </w:r>
      <w:r w:rsidR="00836177">
        <w:rPr>
          <w:sz w:val="22"/>
          <w:szCs w:val="22"/>
        </w:rPr>
        <w:t>31</w:t>
      </w:r>
      <w:r w:rsidRPr="00041F98">
        <w:rPr>
          <w:sz w:val="22"/>
          <w:szCs w:val="22"/>
        </w:rPr>
        <w:t xml:space="preserve"> „</w:t>
      </w:r>
      <w:r w:rsidR="00585473">
        <w:rPr>
          <w:sz w:val="22"/>
          <w:szCs w:val="22"/>
        </w:rPr>
        <w:t>Gāzu</w:t>
      </w:r>
      <w:r w:rsidR="00256DC0">
        <w:rPr>
          <w:sz w:val="22"/>
          <w:szCs w:val="22"/>
        </w:rPr>
        <w:t xml:space="preserve"> un piederumu</w:t>
      </w:r>
      <w:r w:rsidR="00585473">
        <w:rPr>
          <w:sz w:val="22"/>
          <w:szCs w:val="22"/>
        </w:rPr>
        <w:t xml:space="preserve"> </w:t>
      </w:r>
      <w:r w:rsidR="002C1A9A">
        <w:rPr>
          <w:sz w:val="22"/>
          <w:szCs w:val="22"/>
        </w:rPr>
        <w:t>piegāde</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1.1. Iepirkums</w:t>
      </w:r>
      <w:r w:rsidR="00F73852" w:rsidRPr="00F73852">
        <w:rPr>
          <w:sz w:val="22"/>
          <w:szCs w:val="22"/>
        </w:rPr>
        <w:t xml:space="preserve"> </w:t>
      </w:r>
      <w:r w:rsidR="00C4217D">
        <w:rPr>
          <w:sz w:val="22"/>
          <w:szCs w:val="22"/>
        </w:rPr>
        <w:t>nav</w:t>
      </w:r>
      <w:r w:rsidRPr="00F73852">
        <w:rPr>
          <w:sz w:val="22"/>
          <w:szCs w:val="22"/>
        </w:rPr>
        <w:t xml:space="preserve"> sadalīts</w:t>
      </w:r>
      <w:r w:rsidR="00F73852" w:rsidRPr="00F73852">
        <w:rPr>
          <w:sz w:val="22"/>
          <w:szCs w:val="22"/>
        </w:rPr>
        <w:t xml:space="preserve"> </w:t>
      </w:r>
      <w:r w:rsidRPr="00F73852">
        <w:rPr>
          <w:sz w:val="22"/>
          <w:szCs w:val="22"/>
        </w:rPr>
        <w:t>daļās. Piedāvājums jāiesniedz par visu apjomu.</w:t>
      </w:r>
    </w:p>
    <w:p w:rsidR="00194F61" w:rsidRPr="005A22AD" w:rsidRDefault="00194F61" w:rsidP="00EF486E">
      <w:pPr>
        <w:spacing w:before="120"/>
        <w:jc w:val="both"/>
        <w:rPr>
          <w:sz w:val="22"/>
          <w:szCs w:val="22"/>
        </w:rPr>
      </w:pPr>
      <w:r>
        <w:rPr>
          <w:sz w:val="22"/>
          <w:szCs w:val="22"/>
        </w:rPr>
        <w:t xml:space="preserve">1.2. </w:t>
      </w:r>
      <w:r w:rsidRPr="005A22AD">
        <w:rPr>
          <w:sz w:val="22"/>
          <w:szCs w:val="22"/>
        </w:rPr>
        <w:t>Piedāvājums sastāv no:</w:t>
      </w:r>
    </w:p>
    <w:p w:rsidR="007E12B3" w:rsidRPr="00041F98" w:rsidRDefault="007E12B3" w:rsidP="00EF486E">
      <w:pPr>
        <w:jc w:val="both"/>
        <w:rPr>
          <w:sz w:val="22"/>
          <w:szCs w:val="22"/>
        </w:rPr>
      </w:pPr>
      <w:r w:rsidRPr="00041F98">
        <w:rPr>
          <w:sz w:val="22"/>
          <w:szCs w:val="22"/>
        </w:rPr>
        <w:t>Pieteikuma</w:t>
      </w:r>
      <w:r>
        <w:rPr>
          <w:sz w:val="22"/>
          <w:szCs w:val="22"/>
        </w:rPr>
        <w:t>-</w:t>
      </w:r>
      <w:r w:rsidRPr="00041F98">
        <w:rPr>
          <w:sz w:val="22"/>
          <w:szCs w:val="22"/>
        </w:rPr>
        <w:t>Tehniskā-</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2</w:t>
      </w:r>
      <w:r w:rsidRPr="00041F98">
        <w:rPr>
          <w:sz w:val="22"/>
          <w:szCs w:val="22"/>
        </w:rPr>
        <w:t xml:space="preserve"> dotajai </w:t>
      </w:r>
      <w:r>
        <w:rPr>
          <w:sz w:val="22"/>
          <w:szCs w:val="22"/>
        </w:rPr>
        <w:t>formai</w:t>
      </w:r>
      <w:r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Pasūtītājs izslēdz Pretendentu no dalības iepirkumā jebkurā no šādiem gadījumiem:</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1A47B2">
        <w:rPr>
          <w:sz w:val="22"/>
          <w:szCs w:val="22"/>
        </w:rPr>
        <w:t>i</w:t>
      </w:r>
      <w:r w:rsidR="00C006C5" w:rsidRPr="00C006C5">
        <w:rPr>
          <w:sz w:val="22"/>
          <w:szCs w:val="22"/>
        </w:rPr>
        <w:t>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w:t>
      </w:r>
      <w:r w:rsidR="0009587E">
        <w:rPr>
          <w:rFonts w:eastAsia="Times New Roman"/>
          <w:color w:val="414142"/>
          <w:sz w:val="22"/>
          <w:szCs w:val="22"/>
        </w:rPr>
        <w:t>irkumā punktos 2.2.1. un 2.2.2.</w:t>
      </w:r>
      <w:r w:rsidRPr="00EF486E">
        <w:rPr>
          <w:rFonts w:eastAsia="Times New Roman"/>
          <w:color w:val="414142"/>
          <w:sz w:val="22"/>
          <w:szCs w:val="22"/>
        </w:rPr>
        <w:t xml:space="preserve"> minēto apstākļu dēļ, pasūtītājs:</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a) par punktā 2.2.1. minētajiem faktiem — no Uzņēmumu reģistra,</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2.4. Atkarībā no atbilstoši 2.3.1. punkta "b" apakšpunktam veiktās pārbaudes rezultātiem pasūtītājs:</w:t>
      </w:r>
    </w:p>
    <w:p w:rsidR="00C006C5" w:rsidRPr="001A47B2" w:rsidRDefault="00C006C5" w:rsidP="00EF486E">
      <w:pPr>
        <w:spacing w:before="120"/>
        <w:jc w:val="both"/>
        <w:rPr>
          <w:rFonts w:eastAsia="Times New Roman"/>
          <w:color w:val="414142"/>
          <w:sz w:val="22"/>
          <w:szCs w:val="22"/>
        </w:rPr>
      </w:pPr>
      <w:r w:rsidRPr="00EF486E">
        <w:rPr>
          <w:rFonts w:eastAsia="Times New Roman"/>
          <w:color w:val="414142"/>
          <w:sz w:val="22"/>
          <w:szCs w:val="22"/>
        </w:rPr>
        <w:t>2</w:t>
      </w:r>
      <w:r w:rsidR="00EF486E" w:rsidRPr="00EF486E">
        <w:rPr>
          <w:rFonts w:eastAsia="Times New Roman"/>
          <w:color w:val="414142"/>
          <w:sz w:val="22"/>
          <w:szCs w:val="22"/>
        </w:rPr>
        <w:t>.4.1.</w:t>
      </w:r>
      <w:r w:rsidRPr="00EF486E">
        <w:rPr>
          <w:rFonts w:eastAsia="Times New Roman"/>
          <w:color w:val="414142"/>
          <w:sz w:val="22"/>
          <w:szCs w:val="22"/>
        </w:rPr>
        <w:t xml:space="preserve"> neizslēdz pretendentu no dalības iepirkumā, ja konstatē, ka saskaņā ar Ministru kabineta </w:t>
      </w:r>
      <w:r w:rsidRPr="001A47B2">
        <w:rPr>
          <w:rFonts w:eastAsia="Times New Roman"/>
          <w:color w:val="414142"/>
          <w:sz w:val="22"/>
          <w:szCs w:val="22"/>
        </w:rPr>
        <w:t xml:space="preserve">noteiktajā informācijas sistēmā esošo informāciju pretendentam nav nodokļu parādu, tajā skaitā valsts sociālās apdrošināšanas obligāto iemaksu parādu, kas kopsummā pārsniedz 150 </w:t>
      </w:r>
      <w:r w:rsidRPr="001A47B2">
        <w:rPr>
          <w:rFonts w:eastAsia="Times New Roman"/>
          <w:iCs/>
          <w:color w:val="414142"/>
          <w:sz w:val="22"/>
          <w:szCs w:val="22"/>
        </w:rPr>
        <w:t>e</w:t>
      </w:r>
      <w:r w:rsidR="002C1A9A" w:rsidRPr="001A47B2">
        <w:rPr>
          <w:rFonts w:eastAsia="Times New Roman"/>
          <w:iCs/>
          <w:color w:val="414142"/>
          <w:sz w:val="22"/>
          <w:szCs w:val="22"/>
        </w:rPr>
        <w:t>i</w:t>
      </w:r>
      <w:r w:rsidRPr="001A47B2">
        <w:rPr>
          <w:rFonts w:eastAsia="Times New Roman"/>
          <w:iCs/>
          <w:color w:val="414142"/>
          <w:sz w:val="22"/>
          <w:szCs w:val="22"/>
        </w:rPr>
        <w:t>ro</w:t>
      </w:r>
      <w:r w:rsidRPr="001A47B2">
        <w:rPr>
          <w:rFonts w:eastAsia="Times New Roman"/>
          <w:color w:val="414142"/>
          <w:sz w:val="22"/>
          <w:szCs w:val="22"/>
        </w:rPr>
        <w:t>;</w:t>
      </w:r>
    </w:p>
    <w:p w:rsidR="00C006C5" w:rsidRPr="001A47B2" w:rsidRDefault="00EF486E" w:rsidP="00EF486E">
      <w:pPr>
        <w:spacing w:before="120"/>
        <w:jc w:val="both"/>
        <w:rPr>
          <w:rFonts w:eastAsia="Times New Roman"/>
          <w:color w:val="414142"/>
          <w:sz w:val="22"/>
          <w:szCs w:val="22"/>
        </w:rPr>
      </w:pPr>
      <w:r w:rsidRPr="001A47B2">
        <w:rPr>
          <w:rFonts w:eastAsia="Times New Roman"/>
          <w:color w:val="414142"/>
          <w:sz w:val="22"/>
          <w:szCs w:val="22"/>
        </w:rPr>
        <w:t>2.4.2.</w:t>
      </w:r>
      <w:r w:rsidR="00C006C5" w:rsidRPr="001A47B2">
        <w:rPr>
          <w:rFonts w:eastAsia="Times New Roman"/>
          <w:color w:val="414142"/>
          <w:sz w:val="22"/>
          <w:szCs w:val="22"/>
        </w:rPr>
        <w:t xml:space="preserve"> informē pretendentu par to, ka tam konstatēti nodokļu parādi, tajā skaitā valsts sociālās apdrošināšanas obligāto iemaksu parādi,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un nosaka termiņu — 10 darbdienas pēc informācijas izsniegšanas vai nosūtīšanas dienas — konstatēto parādu nomaksai un parādu nomaksas apliecinājuma iesniegšanai. Pretendents, lai apliecinātu, ka tam nav nodokļu parādu, </w:t>
      </w:r>
      <w:r w:rsidR="00C006C5" w:rsidRPr="001A47B2">
        <w:rPr>
          <w:rFonts w:eastAsia="Times New Roman"/>
          <w:color w:val="414142"/>
          <w:sz w:val="22"/>
          <w:szCs w:val="22"/>
        </w:rPr>
        <w:lastRenderedPageBreak/>
        <w:t xml:space="preserve">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Ja noteiktajā termiņā minētie dokumenti nav iesniegti, pasūtītājs pretendentu izslēdz no dalības iepirkumā.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C006C5" w:rsidRPr="00EF486E">
        <w:rPr>
          <w:rFonts w:eastAsia="Times New Roman"/>
          <w:color w:val="414142"/>
          <w:sz w:val="22"/>
          <w:szCs w:val="22"/>
        </w:rPr>
        <w:t xml:space="preserve">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173EFE" w:rsidRDefault="00194F61" w:rsidP="00194F61">
      <w:pPr>
        <w:spacing w:before="120"/>
        <w:jc w:val="both"/>
        <w:rPr>
          <w:sz w:val="22"/>
          <w:szCs w:val="22"/>
        </w:rPr>
      </w:pPr>
      <w:r>
        <w:rPr>
          <w:sz w:val="22"/>
          <w:szCs w:val="22"/>
        </w:rPr>
        <w:br w:type="page"/>
      </w:r>
    </w:p>
    <w:p w:rsidR="00194F61" w:rsidRPr="00977999" w:rsidRDefault="00194F61" w:rsidP="00194F61">
      <w:r w:rsidRPr="00977999">
        <w:rPr>
          <w:b/>
          <w:bCs/>
          <w:i/>
          <w:iCs/>
        </w:rPr>
        <w:lastRenderedPageBreak/>
        <w:t>AIZPILDA PRETENDENTS</w:t>
      </w:r>
    </w:p>
    <w:p w:rsidR="00194F61" w:rsidRPr="00977999" w:rsidRDefault="00F46383" w:rsidP="00194F61">
      <w:pPr>
        <w:ind w:right="-59"/>
        <w:jc w:val="right"/>
      </w:pPr>
      <w:r w:rsidRPr="00977999">
        <w:t>2</w:t>
      </w:r>
      <w:r w:rsidR="00194F61" w:rsidRPr="00977999">
        <w:t>. pielikums</w:t>
      </w:r>
    </w:p>
    <w:p w:rsidR="00256DC0" w:rsidRPr="00977999" w:rsidRDefault="00256DC0" w:rsidP="00256DC0">
      <w:pPr>
        <w:tabs>
          <w:tab w:val="left" w:pos="855"/>
        </w:tabs>
        <w:jc w:val="right"/>
      </w:pPr>
      <w:r w:rsidRPr="00977999">
        <w:t>iepirkuma LU CFI 2015/</w:t>
      </w:r>
      <w:r w:rsidR="00554ED6">
        <w:t>31</w:t>
      </w:r>
      <w:r w:rsidRPr="00977999">
        <w:t xml:space="preserve"> „Gāzu un piederumu piegāde” Uzaicinājumam</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Pretendenta nosaukums: 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Reģ.Nr</w:t>
      </w:r>
      <w:proofErr w:type="spellEnd"/>
      <w:r w:rsidRPr="00977999">
        <w:rPr>
          <w:lang w:val="lv-LV"/>
        </w:rPr>
        <w:t>. ____________________PVN maksātāja Nr.___________________________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Jurid</w:t>
      </w:r>
      <w:proofErr w:type="spellEnd"/>
      <w:r w:rsidRPr="00977999">
        <w:rPr>
          <w:lang w:val="lv-LV"/>
        </w:rPr>
        <w:t>. adrese  __________________________________________________________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Faktiskā adrese 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Tālrunis/fakss/e-pasts________________/ _________________/ _________________</w:t>
      </w:r>
    </w:p>
    <w:p w:rsidR="00A77E3A" w:rsidRPr="00977999" w:rsidRDefault="00A77E3A" w:rsidP="00194F61">
      <w:pPr>
        <w:pStyle w:val="naisf"/>
        <w:spacing w:before="0" w:after="0"/>
        <w:ind w:right="-342"/>
        <w:rPr>
          <w:lang w:val="lv-LV"/>
        </w:rPr>
      </w:pPr>
    </w:p>
    <w:p w:rsidR="00A77E3A" w:rsidRPr="00977999" w:rsidRDefault="00A77E3A" w:rsidP="00A77E3A">
      <w:pPr>
        <w:pStyle w:val="naisf"/>
        <w:spacing w:before="0" w:after="0"/>
        <w:ind w:right="-342"/>
        <w:rPr>
          <w:lang w:val="lv-LV"/>
        </w:rPr>
      </w:pPr>
      <w:r w:rsidRPr="00977999">
        <w:rPr>
          <w:lang w:val="lv-LV"/>
        </w:rPr>
        <w:t>Konta Nr./banka/bankas kods _____________________/ _______________/ ________</w:t>
      </w:r>
    </w:p>
    <w:p w:rsidR="00194F61" w:rsidRPr="00977999" w:rsidRDefault="00194F61" w:rsidP="00194F61">
      <w:pPr>
        <w:ind w:right="-342"/>
      </w:pPr>
    </w:p>
    <w:p w:rsidR="00104621" w:rsidRPr="00977999" w:rsidRDefault="00104621" w:rsidP="00194F61">
      <w:pPr>
        <w:pStyle w:val="naisf"/>
        <w:spacing w:before="0" w:after="0"/>
        <w:ind w:right="-342"/>
        <w:jc w:val="center"/>
        <w:rPr>
          <w:b/>
          <w:bCs/>
          <w:i/>
          <w:iCs/>
          <w:lang w:val="lv-LV"/>
        </w:rPr>
      </w:pPr>
    </w:p>
    <w:p w:rsidR="00194F61" w:rsidRPr="00977999" w:rsidRDefault="00000B8A" w:rsidP="00194F61">
      <w:pPr>
        <w:pStyle w:val="naisf"/>
        <w:spacing w:before="0" w:after="0"/>
        <w:ind w:right="-342"/>
        <w:jc w:val="center"/>
        <w:rPr>
          <w:b/>
          <w:bCs/>
          <w:lang w:val="lv-LV"/>
        </w:rPr>
      </w:pPr>
      <w:r w:rsidRPr="00977999">
        <w:rPr>
          <w:b/>
          <w:bCs/>
          <w:iCs/>
          <w:lang w:val="lv-LV"/>
        </w:rPr>
        <w:t>PIETEIKUMS</w:t>
      </w:r>
    </w:p>
    <w:p w:rsidR="0040559E" w:rsidRPr="00977999" w:rsidRDefault="0040559E" w:rsidP="0040559E">
      <w:pPr>
        <w:spacing w:before="120"/>
        <w:ind w:right="-342"/>
        <w:jc w:val="both"/>
      </w:pPr>
      <w:r w:rsidRPr="00977999">
        <w:t>Vēlamies piedalīties iepirkumā LU CFI 201</w:t>
      </w:r>
      <w:r w:rsidR="00A77E3A" w:rsidRPr="00977999">
        <w:t>5</w:t>
      </w:r>
      <w:r w:rsidRPr="00977999">
        <w:t>/</w:t>
      </w:r>
      <w:r w:rsidR="00554ED6">
        <w:t>31</w:t>
      </w:r>
      <w:r w:rsidRPr="00977999">
        <w:t xml:space="preserve"> „</w:t>
      </w:r>
      <w:r w:rsidR="002C1A9A" w:rsidRPr="00977999">
        <w:t xml:space="preserve">Gāzu </w:t>
      </w:r>
      <w:r w:rsidR="00256DC0" w:rsidRPr="00977999">
        <w:t xml:space="preserve">un piederumu </w:t>
      </w:r>
      <w:r w:rsidR="002C1A9A" w:rsidRPr="00977999">
        <w:t>piegāde</w:t>
      </w:r>
      <w:r w:rsidRPr="00977999">
        <w:t xml:space="preserve">” un </w:t>
      </w:r>
      <w:r w:rsidR="00000B8A" w:rsidRPr="00977999">
        <w:t>ar šo apliecinām, ka visas piedāvājumā sniegtās ziņas ir patiesas.</w:t>
      </w:r>
    </w:p>
    <w:p w:rsidR="00AB0265" w:rsidRPr="00977999" w:rsidRDefault="00AB0265" w:rsidP="00D73406">
      <w:pPr>
        <w:spacing w:before="120" w:after="120"/>
        <w:jc w:val="center"/>
        <w:rPr>
          <w:b/>
        </w:rPr>
      </w:pPr>
    </w:p>
    <w:p w:rsidR="00D73406" w:rsidRPr="00977999" w:rsidRDefault="00D73406" w:rsidP="00D73406">
      <w:pPr>
        <w:spacing w:before="120" w:after="120"/>
        <w:jc w:val="center"/>
        <w:rPr>
          <w:b/>
        </w:rPr>
      </w:pPr>
      <w:r w:rsidRPr="00977999">
        <w:rPr>
          <w:b/>
        </w:rPr>
        <w:t>TEHNISKĀ SPECIFIKĀCIJA / TEHNISKAIS UN FINANŠU PIEDĀVĀJUMS</w:t>
      </w:r>
    </w:p>
    <w:p w:rsidR="00336922" w:rsidRPr="00977999" w:rsidRDefault="00336922" w:rsidP="00336922">
      <w:pPr>
        <w:pStyle w:val="Heading2"/>
        <w:spacing w:before="120"/>
        <w:rPr>
          <w:color w:val="000000"/>
          <w:sz w:val="24"/>
          <w:szCs w:val="24"/>
        </w:rPr>
      </w:pPr>
      <w:r w:rsidRPr="00977999">
        <w:rPr>
          <w:color w:val="000000"/>
          <w:sz w:val="24"/>
          <w:szCs w:val="24"/>
        </w:rPr>
        <w:t>1. Nenodefinētās prasības un preču zīmes</w:t>
      </w:r>
    </w:p>
    <w:p w:rsidR="00336922" w:rsidRPr="00977999" w:rsidRDefault="00336922" w:rsidP="00336922">
      <w:pPr>
        <w:pStyle w:val="Text2"/>
        <w:spacing w:before="120" w:after="0"/>
        <w:ind w:left="0"/>
        <w:rPr>
          <w:rFonts w:ascii="Times New Roman" w:hAnsi="Times New Roman" w:cs="Times New Roman"/>
          <w:color w:val="000000"/>
          <w:sz w:val="24"/>
          <w:szCs w:val="24"/>
          <w:lang w:val="lv-LV"/>
        </w:rPr>
      </w:pPr>
      <w:r w:rsidRPr="00977999">
        <w:rPr>
          <w:rFonts w:ascii="Times New Roman" w:hAnsi="Times New Roman" w:cs="Times New Roman"/>
          <w:color w:val="000000"/>
          <w:sz w:val="24"/>
          <w:szCs w:val="24"/>
          <w:lang w:val="lv-LV"/>
        </w:rPr>
        <w:t>Ja tehniskajās specifikācijās kāda preču tehniskā prasība nav definēta, tai ir jāatbilst minimālajām vispārpieņemtajām prasībām vai standartiem. Ja preces ar specificēto kvalitāti nav pārdošanā, jāpiedāvā augstākas kvalitātes preces.</w:t>
      </w:r>
      <w:r w:rsidR="00870A02" w:rsidRPr="00977999">
        <w:rPr>
          <w:rFonts w:ascii="Times New Roman" w:hAnsi="Times New Roman" w:cs="Times New Roman"/>
          <w:color w:val="000000"/>
          <w:sz w:val="24"/>
          <w:szCs w:val="24"/>
          <w:lang w:val="lv-LV"/>
        </w:rPr>
        <w:t xml:space="preserve"> Ja ir minētas preču zīmes vai ražotāji, tas ir jāsaprot kā atsauce uz pielīdzināmu vai augstāku kvalitāti, ja specifikācijās nav norādīts citādi.</w:t>
      </w:r>
    </w:p>
    <w:p w:rsidR="00336922" w:rsidRPr="00977999" w:rsidRDefault="00336922" w:rsidP="00336922">
      <w:pPr>
        <w:spacing w:before="120"/>
        <w:rPr>
          <w:b/>
          <w:color w:val="000000"/>
        </w:rPr>
      </w:pPr>
      <w:r w:rsidRPr="00977999">
        <w:rPr>
          <w:b/>
          <w:color w:val="000000"/>
        </w:rPr>
        <w:t>2. Minimālās tehniskās prasības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903"/>
        <w:gridCol w:w="2817"/>
        <w:gridCol w:w="960"/>
        <w:gridCol w:w="854"/>
      </w:tblGrid>
      <w:tr w:rsidR="00D73406" w:rsidRPr="00464481" w:rsidTr="00464481">
        <w:trPr>
          <w:cantSplit/>
          <w:trHeight w:val="454"/>
        </w:trPr>
        <w:tc>
          <w:tcPr>
            <w:tcW w:w="480" w:type="dxa"/>
            <w:vMerge w:val="restart"/>
            <w:tcMar>
              <w:left w:w="28" w:type="dxa"/>
              <w:right w:w="28" w:type="dxa"/>
            </w:tcMar>
            <w:vAlign w:val="center"/>
          </w:tcPr>
          <w:p w:rsidR="00D73406" w:rsidRPr="00464481" w:rsidRDefault="00D73406" w:rsidP="00533380">
            <w:pPr>
              <w:spacing w:before="120" w:after="120"/>
              <w:jc w:val="center"/>
            </w:pPr>
            <w:r w:rsidRPr="00464481">
              <w:t>N. p.k.</w:t>
            </w:r>
          </w:p>
        </w:tc>
        <w:tc>
          <w:tcPr>
            <w:tcW w:w="5223" w:type="dxa"/>
            <w:gridSpan w:val="2"/>
            <w:tcMar>
              <w:left w:w="28" w:type="dxa"/>
              <w:right w:w="28" w:type="dxa"/>
            </w:tcMar>
            <w:vAlign w:val="center"/>
          </w:tcPr>
          <w:p w:rsidR="00D73406" w:rsidRPr="00464481" w:rsidRDefault="00D73406" w:rsidP="00533380">
            <w:pPr>
              <w:spacing w:before="120" w:after="120"/>
              <w:jc w:val="center"/>
            </w:pPr>
            <w:r w:rsidRPr="00464481">
              <w:t>Pasūtītāja prasības</w:t>
            </w:r>
          </w:p>
        </w:tc>
        <w:tc>
          <w:tcPr>
            <w:tcW w:w="2817" w:type="dxa"/>
            <w:vMerge w:val="restart"/>
            <w:tcMar>
              <w:left w:w="28" w:type="dxa"/>
              <w:right w:w="28" w:type="dxa"/>
            </w:tcMar>
            <w:vAlign w:val="center"/>
          </w:tcPr>
          <w:p w:rsidR="00D73406" w:rsidRPr="00464481" w:rsidRDefault="00D73406" w:rsidP="00533380">
            <w:pPr>
              <w:jc w:val="center"/>
            </w:pPr>
            <w:r w:rsidRPr="00464481">
              <w:rPr>
                <w:color w:val="000000"/>
              </w:rPr>
              <w:t xml:space="preserve">Piedāvājums </w:t>
            </w:r>
            <w:r w:rsidRPr="00464481">
              <w:rPr>
                <w:color w:val="000000"/>
              </w:rPr>
              <w:br/>
              <w:t>(aizpilda pretendents)</w:t>
            </w:r>
          </w:p>
        </w:tc>
        <w:tc>
          <w:tcPr>
            <w:tcW w:w="960" w:type="dxa"/>
            <w:vMerge w:val="restart"/>
            <w:tcMar>
              <w:left w:w="28" w:type="dxa"/>
              <w:right w:w="28" w:type="dxa"/>
            </w:tcMar>
            <w:vAlign w:val="center"/>
          </w:tcPr>
          <w:p w:rsidR="00D73406" w:rsidRPr="00464481" w:rsidRDefault="00D73406" w:rsidP="00533380">
            <w:pPr>
              <w:spacing w:before="60" w:after="60"/>
              <w:jc w:val="center"/>
            </w:pPr>
            <w:r w:rsidRPr="00464481">
              <w:t>Cena bez PVN, EUR</w:t>
            </w:r>
          </w:p>
        </w:tc>
        <w:tc>
          <w:tcPr>
            <w:tcW w:w="854" w:type="dxa"/>
            <w:vMerge w:val="restart"/>
            <w:tcMar>
              <w:left w:w="28" w:type="dxa"/>
              <w:right w:w="28" w:type="dxa"/>
            </w:tcMar>
            <w:vAlign w:val="center"/>
          </w:tcPr>
          <w:p w:rsidR="00D73406" w:rsidRPr="00464481" w:rsidRDefault="00D73406" w:rsidP="00533380">
            <w:pPr>
              <w:spacing w:before="120" w:after="120"/>
              <w:jc w:val="center"/>
            </w:pPr>
            <w:r w:rsidRPr="00464481">
              <w:t>Summa</w:t>
            </w:r>
            <w:r w:rsidRPr="00464481">
              <w:br/>
              <w:t>bez PVN, EUR</w:t>
            </w:r>
          </w:p>
        </w:tc>
      </w:tr>
      <w:tr w:rsidR="00D73406" w:rsidRPr="00464481" w:rsidTr="00464481">
        <w:trPr>
          <w:cantSplit/>
          <w:trHeight w:val="682"/>
        </w:trPr>
        <w:tc>
          <w:tcPr>
            <w:tcW w:w="480" w:type="dxa"/>
            <w:vMerge/>
            <w:tcMar>
              <w:left w:w="28" w:type="dxa"/>
              <w:right w:w="28" w:type="dxa"/>
            </w:tcMar>
            <w:vAlign w:val="center"/>
          </w:tcPr>
          <w:p w:rsidR="00D73406" w:rsidRPr="00464481" w:rsidRDefault="00D73406" w:rsidP="00533380">
            <w:pPr>
              <w:spacing w:before="120" w:after="120"/>
              <w:jc w:val="center"/>
            </w:pPr>
          </w:p>
        </w:tc>
        <w:tc>
          <w:tcPr>
            <w:tcW w:w="4320" w:type="dxa"/>
            <w:tcMar>
              <w:left w:w="28" w:type="dxa"/>
              <w:right w:w="28" w:type="dxa"/>
            </w:tcMar>
            <w:vAlign w:val="center"/>
          </w:tcPr>
          <w:p w:rsidR="00D73406" w:rsidRPr="00464481" w:rsidRDefault="00D73406" w:rsidP="00533380">
            <w:pPr>
              <w:spacing w:before="120" w:after="120"/>
              <w:jc w:val="center"/>
            </w:pPr>
            <w:r w:rsidRPr="00464481">
              <w:rPr>
                <w:color w:val="000000"/>
              </w:rPr>
              <w:t>Minimālās tehniskās prasības (produkta nosaukums un veids)</w:t>
            </w:r>
          </w:p>
        </w:tc>
        <w:tc>
          <w:tcPr>
            <w:tcW w:w="903" w:type="dxa"/>
            <w:tcMar>
              <w:left w:w="28" w:type="dxa"/>
              <w:right w:w="28" w:type="dxa"/>
            </w:tcMar>
            <w:vAlign w:val="center"/>
          </w:tcPr>
          <w:p w:rsidR="00D73406" w:rsidRPr="00464481" w:rsidRDefault="00D73406" w:rsidP="00533380">
            <w:pPr>
              <w:spacing w:before="120" w:after="120"/>
              <w:jc w:val="center"/>
            </w:pPr>
            <w:r w:rsidRPr="00464481">
              <w:t>Dau-dzums</w:t>
            </w:r>
          </w:p>
        </w:tc>
        <w:tc>
          <w:tcPr>
            <w:tcW w:w="2817" w:type="dxa"/>
            <w:vMerge/>
            <w:tcMar>
              <w:left w:w="28" w:type="dxa"/>
              <w:right w:w="28" w:type="dxa"/>
            </w:tcMar>
            <w:vAlign w:val="center"/>
          </w:tcPr>
          <w:p w:rsidR="00D73406" w:rsidRPr="00464481" w:rsidRDefault="00D73406" w:rsidP="00533380">
            <w:pPr>
              <w:spacing w:before="120" w:after="120"/>
              <w:jc w:val="center"/>
            </w:pPr>
          </w:p>
        </w:tc>
        <w:tc>
          <w:tcPr>
            <w:tcW w:w="960" w:type="dxa"/>
            <w:vMerge/>
            <w:tcMar>
              <w:left w:w="28" w:type="dxa"/>
              <w:right w:w="28" w:type="dxa"/>
            </w:tcMar>
            <w:vAlign w:val="center"/>
          </w:tcPr>
          <w:p w:rsidR="00D73406" w:rsidRPr="00464481" w:rsidRDefault="00D73406" w:rsidP="00533380">
            <w:pPr>
              <w:spacing w:before="120" w:after="120"/>
              <w:jc w:val="center"/>
            </w:pPr>
          </w:p>
        </w:tc>
        <w:tc>
          <w:tcPr>
            <w:tcW w:w="854" w:type="dxa"/>
            <w:vMerge/>
            <w:tcMar>
              <w:left w:w="28" w:type="dxa"/>
              <w:right w:w="28" w:type="dxa"/>
            </w:tcMar>
            <w:vAlign w:val="center"/>
          </w:tcPr>
          <w:p w:rsidR="00D73406" w:rsidRPr="00464481" w:rsidRDefault="00D73406" w:rsidP="00533380">
            <w:pPr>
              <w:spacing w:before="120" w:after="120"/>
              <w:jc w:val="center"/>
            </w:pPr>
          </w:p>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1</w:t>
            </w:r>
          </w:p>
        </w:tc>
        <w:tc>
          <w:tcPr>
            <w:tcW w:w="4320" w:type="dxa"/>
            <w:tcMar>
              <w:left w:w="28" w:type="dxa"/>
              <w:right w:w="28" w:type="dxa"/>
            </w:tcMar>
            <w:vAlign w:val="center"/>
          </w:tcPr>
          <w:p w:rsidR="008F5D82" w:rsidRPr="00464481" w:rsidRDefault="008F5D82" w:rsidP="001E3A3A">
            <w:pPr>
              <w:rPr>
                <w:color w:val="000000"/>
              </w:rPr>
            </w:pPr>
            <w:r w:rsidRPr="00464481">
              <w:rPr>
                <w:color w:val="000000"/>
              </w:rPr>
              <w:t xml:space="preserve">Slāpeklis, industriālais, </w:t>
            </w:r>
            <w:r w:rsidR="001E3A3A">
              <w:t>2</w:t>
            </w:r>
            <w:r w:rsidRPr="00464481">
              <w:t>0L/</w:t>
            </w:r>
            <w:r w:rsidR="001E3A3A">
              <w:t>3</w:t>
            </w:r>
            <w:r w:rsidRPr="00464481">
              <w:t>00bar, balon</w:t>
            </w:r>
            <w:r w:rsidR="001E3A3A">
              <w:t xml:space="preserve">s </w:t>
            </w:r>
            <w:r w:rsidR="00977999">
              <w:t xml:space="preserve">GENIE </w:t>
            </w:r>
            <w:r w:rsidR="001E3A3A">
              <w:t>vai ekvivalents</w:t>
            </w:r>
          </w:p>
        </w:tc>
        <w:tc>
          <w:tcPr>
            <w:tcW w:w="903" w:type="dxa"/>
            <w:tcMar>
              <w:left w:w="28" w:type="dxa"/>
              <w:right w:w="28" w:type="dxa"/>
            </w:tcMar>
            <w:vAlign w:val="center"/>
          </w:tcPr>
          <w:p w:rsidR="008F5D82" w:rsidRPr="00464481" w:rsidRDefault="0049055C" w:rsidP="00E12CDD">
            <w:pPr>
              <w:jc w:val="center"/>
            </w:pPr>
            <w:r w:rsidRPr="00464481">
              <w:rPr>
                <w:color w:val="000000"/>
              </w:rPr>
              <w:t>1</w:t>
            </w:r>
            <w:r w:rsidR="00977999">
              <w:rPr>
                <w:color w:val="000000"/>
              </w:rPr>
              <w:t xml:space="preserve">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554ED6" w:rsidRPr="00464481" w:rsidTr="00464481">
        <w:trPr>
          <w:cantSplit/>
          <w:trHeight w:val="457"/>
        </w:trPr>
        <w:tc>
          <w:tcPr>
            <w:tcW w:w="480" w:type="dxa"/>
            <w:tcMar>
              <w:left w:w="28" w:type="dxa"/>
              <w:right w:w="28" w:type="dxa"/>
            </w:tcMar>
            <w:vAlign w:val="center"/>
          </w:tcPr>
          <w:p w:rsidR="00554ED6" w:rsidRPr="00464481" w:rsidRDefault="00554ED6" w:rsidP="00A03D24">
            <w:pPr>
              <w:jc w:val="center"/>
            </w:pPr>
            <w:r>
              <w:t>2</w:t>
            </w:r>
          </w:p>
        </w:tc>
        <w:tc>
          <w:tcPr>
            <w:tcW w:w="4320" w:type="dxa"/>
            <w:tcMar>
              <w:left w:w="28" w:type="dxa"/>
              <w:right w:w="28" w:type="dxa"/>
            </w:tcMar>
            <w:vAlign w:val="center"/>
          </w:tcPr>
          <w:p w:rsidR="00554ED6" w:rsidRPr="00464481" w:rsidRDefault="00554ED6" w:rsidP="00146B78">
            <w:pPr>
              <w:rPr>
                <w:color w:val="000000"/>
              </w:rPr>
            </w:pPr>
            <w:r>
              <w:t>Piedāvātā balona (GENIE vai ekvivalenta)</w:t>
            </w:r>
            <w:r w:rsidRPr="00464481">
              <w:rPr>
                <w:color w:val="000000"/>
              </w:rPr>
              <w:t xml:space="preserve"> noma, </w:t>
            </w:r>
            <w:bookmarkStart w:id="1" w:name="OLE_LINK1"/>
            <w:bookmarkStart w:id="2" w:name="OLE_LINK2"/>
            <w:r>
              <w:rPr>
                <w:color w:val="000000"/>
              </w:rPr>
              <w:t>36 mēneši</w:t>
            </w:r>
            <w:bookmarkEnd w:id="1"/>
            <w:bookmarkEnd w:id="2"/>
          </w:p>
        </w:tc>
        <w:tc>
          <w:tcPr>
            <w:tcW w:w="903" w:type="dxa"/>
            <w:tcMar>
              <w:left w:w="28" w:type="dxa"/>
              <w:right w:w="28" w:type="dxa"/>
            </w:tcMar>
            <w:vAlign w:val="center"/>
          </w:tcPr>
          <w:p w:rsidR="00554ED6" w:rsidRPr="00464481" w:rsidRDefault="00554ED6" w:rsidP="00146B78">
            <w:pPr>
              <w:jc w:val="center"/>
              <w:rPr>
                <w:color w:val="000000"/>
              </w:rPr>
            </w:pPr>
            <w:r>
              <w:rPr>
                <w:color w:val="000000"/>
              </w:rPr>
              <w:t xml:space="preserve">1 </w:t>
            </w:r>
            <w:r w:rsidRPr="00464481">
              <w:rPr>
                <w:color w:val="000000"/>
              </w:rPr>
              <w:t>gab.</w:t>
            </w:r>
          </w:p>
        </w:tc>
        <w:tc>
          <w:tcPr>
            <w:tcW w:w="2817" w:type="dxa"/>
            <w:tcMar>
              <w:left w:w="28" w:type="dxa"/>
              <w:right w:w="28" w:type="dxa"/>
            </w:tcMar>
            <w:vAlign w:val="center"/>
          </w:tcPr>
          <w:p w:rsidR="00554ED6" w:rsidRPr="00464481" w:rsidRDefault="00554ED6">
            <w:pPr>
              <w:jc w:val="right"/>
              <w:rPr>
                <w:color w:val="000000"/>
              </w:rPr>
            </w:pP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vAlign w:val="center"/>
          </w:tcPr>
          <w:p w:rsidR="00554ED6" w:rsidRPr="00464481" w:rsidRDefault="00554ED6" w:rsidP="00533380"/>
        </w:tc>
      </w:tr>
      <w:tr w:rsidR="00554ED6" w:rsidRPr="00464481" w:rsidTr="00464481">
        <w:trPr>
          <w:cantSplit/>
          <w:trHeight w:val="457"/>
        </w:trPr>
        <w:tc>
          <w:tcPr>
            <w:tcW w:w="480" w:type="dxa"/>
            <w:tcMar>
              <w:left w:w="28" w:type="dxa"/>
              <w:right w:w="28" w:type="dxa"/>
            </w:tcMar>
            <w:vAlign w:val="center"/>
          </w:tcPr>
          <w:p w:rsidR="00554ED6" w:rsidRDefault="00554ED6" w:rsidP="009726C9">
            <w:pPr>
              <w:jc w:val="center"/>
            </w:pPr>
            <w:r>
              <w:t>3</w:t>
            </w:r>
          </w:p>
        </w:tc>
        <w:tc>
          <w:tcPr>
            <w:tcW w:w="4320" w:type="dxa"/>
            <w:tcMar>
              <w:left w:w="28" w:type="dxa"/>
              <w:right w:w="28" w:type="dxa"/>
            </w:tcMar>
            <w:vAlign w:val="center"/>
          </w:tcPr>
          <w:p w:rsidR="00554ED6" w:rsidRDefault="00554ED6" w:rsidP="00146B78">
            <w:pPr>
              <w:rPr>
                <w:color w:val="000000"/>
              </w:rPr>
            </w:pPr>
            <w:r>
              <w:rPr>
                <w:color w:val="000000"/>
              </w:rPr>
              <w:t xml:space="preserve">Reduktors </w:t>
            </w:r>
            <w:r>
              <w:t xml:space="preserve">GENIE </w:t>
            </w:r>
            <w:r>
              <w:rPr>
                <w:color w:val="000000"/>
              </w:rPr>
              <w:t>GN2-300-30-3, N</w:t>
            </w:r>
            <w:r w:rsidRPr="00AD37F4">
              <w:rPr>
                <w:color w:val="000000"/>
                <w:vertAlign w:val="subscript"/>
              </w:rPr>
              <w:t>2</w:t>
            </w:r>
            <w:r>
              <w:rPr>
                <w:color w:val="000000"/>
              </w:rPr>
              <w:t xml:space="preserve">, </w:t>
            </w:r>
          </w:p>
          <w:p w:rsidR="00554ED6" w:rsidRPr="00464481" w:rsidRDefault="00554ED6" w:rsidP="00146B78">
            <w:pPr>
              <w:rPr>
                <w:color w:val="000000"/>
              </w:rPr>
            </w:pPr>
            <w:r>
              <w:rPr>
                <w:color w:val="000000"/>
              </w:rPr>
              <w:t xml:space="preserve">0-10bar </w:t>
            </w:r>
            <w:r>
              <w:t>(vai ekvivalents, piemērots piedāvātajam balonam)</w:t>
            </w:r>
          </w:p>
        </w:tc>
        <w:tc>
          <w:tcPr>
            <w:tcW w:w="903" w:type="dxa"/>
            <w:tcMar>
              <w:left w:w="28" w:type="dxa"/>
              <w:right w:w="28" w:type="dxa"/>
            </w:tcMar>
            <w:vAlign w:val="center"/>
          </w:tcPr>
          <w:p w:rsidR="00554ED6" w:rsidRPr="00464481" w:rsidRDefault="00554ED6" w:rsidP="00146B78">
            <w:pPr>
              <w:jc w:val="center"/>
            </w:pPr>
            <w:r w:rsidRPr="00464481">
              <w:rPr>
                <w:color w:val="000000"/>
              </w:rPr>
              <w:t>1</w:t>
            </w:r>
            <w:r>
              <w:rPr>
                <w:color w:val="000000"/>
              </w:rPr>
              <w:t xml:space="preserve"> </w:t>
            </w:r>
            <w:r w:rsidRPr="00464481">
              <w:rPr>
                <w:color w:val="000000"/>
              </w:rPr>
              <w:t>gab.</w:t>
            </w:r>
          </w:p>
        </w:tc>
        <w:tc>
          <w:tcPr>
            <w:tcW w:w="2817" w:type="dxa"/>
            <w:tcMar>
              <w:left w:w="28" w:type="dxa"/>
              <w:right w:w="28" w:type="dxa"/>
            </w:tcMar>
            <w:vAlign w:val="center"/>
          </w:tcPr>
          <w:p w:rsidR="00554ED6" w:rsidRPr="00464481" w:rsidRDefault="00554ED6">
            <w:pPr>
              <w:jc w:val="right"/>
              <w:rPr>
                <w:color w:val="000000"/>
              </w:rPr>
            </w:pP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vAlign w:val="center"/>
          </w:tcPr>
          <w:p w:rsidR="00554ED6" w:rsidRPr="00464481" w:rsidRDefault="00554ED6" w:rsidP="00533380"/>
        </w:tc>
      </w:tr>
      <w:tr w:rsidR="00554ED6" w:rsidRPr="00464481" w:rsidTr="00464481">
        <w:trPr>
          <w:cantSplit/>
          <w:trHeight w:val="457"/>
        </w:trPr>
        <w:tc>
          <w:tcPr>
            <w:tcW w:w="480" w:type="dxa"/>
            <w:tcMar>
              <w:left w:w="28" w:type="dxa"/>
              <w:right w:w="28" w:type="dxa"/>
            </w:tcMar>
            <w:vAlign w:val="center"/>
          </w:tcPr>
          <w:p w:rsidR="00554ED6" w:rsidRDefault="00554ED6" w:rsidP="009726C9">
            <w:pPr>
              <w:jc w:val="center"/>
            </w:pPr>
            <w:r>
              <w:t>4</w:t>
            </w:r>
          </w:p>
        </w:tc>
        <w:tc>
          <w:tcPr>
            <w:tcW w:w="4320" w:type="dxa"/>
            <w:tcMar>
              <w:left w:w="28" w:type="dxa"/>
              <w:right w:w="28" w:type="dxa"/>
            </w:tcMar>
            <w:vAlign w:val="center"/>
          </w:tcPr>
          <w:p w:rsidR="00554ED6" w:rsidRPr="00464481" w:rsidRDefault="00554ED6" w:rsidP="00146B78">
            <w:pPr>
              <w:rPr>
                <w:color w:val="000000"/>
              </w:rPr>
            </w:pPr>
            <w:r>
              <w:t>GENIE balona ratiņi (vai ekvivalenti, piemēroti piedāvātajam balonam)</w:t>
            </w:r>
          </w:p>
        </w:tc>
        <w:tc>
          <w:tcPr>
            <w:tcW w:w="903" w:type="dxa"/>
            <w:tcMar>
              <w:left w:w="28" w:type="dxa"/>
              <w:right w:w="28" w:type="dxa"/>
            </w:tcMar>
            <w:vAlign w:val="center"/>
          </w:tcPr>
          <w:p w:rsidR="00554ED6" w:rsidRPr="00464481" w:rsidRDefault="00554ED6" w:rsidP="00146B78">
            <w:pPr>
              <w:jc w:val="center"/>
              <w:rPr>
                <w:color w:val="000000"/>
              </w:rPr>
            </w:pPr>
            <w:r>
              <w:rPr>
                <w:color w:val="000000"/>
              </w:rPr>
              <w:t xml:space="preserve">1 </w:t>
            </w:r>
            <w:r w:rsidRPr="00464481">
              <w:rPr>
                <w:color w:val="000000"/>
              </w:rPr>
              <w:t>gab.</w:t>
            </w:r>
          </w:p>
        </w:tc>
        <w:tc>
          <w:tcPr>
            <w:tcW w:w="2817" w:type="dxa"/>
            <w:tcMar>
              <w:left w:w="28" w:type="dxa"/>
              <w:right w:w="28" w:type="dxa"/>
            </w:tcMar>
            <w:vAlign w:val="center"/>
          </w:tcPr>
          <w:p w:rsidR="00554ED6" w:rsidRPr="00464481" w:rsidRDefault="00554ED6">
            <w:pPr>
              <w:jc w:val="right"/>
              <w:rPr>
                <w:color w:val="000000"/>
              </w:rPr>
            </w:pP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vAlign w:val="center"/>
          </w:tcPr>
          <w:p w:rsidR="00554ED6" w:rsidRPr="00464481" w:rsidRDefault="00554ED6" w:rsidP="00533380"/>
        </w:tc>
      </w:tr>
      <w:tr w:rsidR="00554ED6" w:rsidRPr="00464481" w:rsidTr="00464481">
        <w:trPr>
          <w:cantSplit/>
          <w:trHeight w:val="457"/>
        </w:trPr>
        <w:tc>
          <w:tcPr>
            <w:tcW w:w="480" w:type="dxa"/>
            <w:tcMar>
              <w:left w:w="28" w:type="dxa"/>
              <w:right w:w="28" w:type="dxa"/>
            </w:tcMar>
            <w:vAlign w:val="center"/>
          </w:tcPr>
          <w:p w:rsidR="00554ED6" w:rsidRDefault="00554ED6" w:rsidP="009726C9">
            <w:pPr>
              <w:jc w:val="center"/>
            </w:pPr>
            <w:r>
              <w:t>5</w:t>
            </w:r>
          </w:p>
        </w:tc>
        <w:tc>
          <w:tcPr>
            <w:tcW w:w="4320" w:type="dxa"/>
            <w:tcMar>
              <w:left w:w="28" w:type="dxa"/>
              <w:right w:w="28" w:type="dxa"/>
            </w:tcMar>
            <w:vAlign w:val="center"/>
          </w:tcPr>
          <w:p w:rsidR="00554ED6" w:rsidRPr="00464481" w:rsidRDefault="00554ED6" w:rsidP="00146B78">
            <w:pPr>
              <w:rPr>
                <w:color w:val="000000"/>
              </w:rPr>
            </w:pPr>
            <w:r>
              <w:t>GENIE ratiņu teleskopiskais rokturis (vai ekvivalents, piemērots piedāvātajiem ratiņiem, ja nepieciešams)</w:t>
            </w:r>
          </w:p>
        </w:tc>
        <w:tc>
          <w:tcPr>
            <w:tcW w:w="903" w:type="dxa"/>
            <w:tcMar>
              <w:left w:w="28" w:type="dxa"/>
              <w:right w:w="28" w:type="dxa"/>
            </w:tcMar>
            <w:vAlign w:val="center"/>
          </w:tcPr>
          <w:p w:rsidR="00554ED6" w:rsidRPr="00464481" w:rsidRDefault="00554ED6" w:rsidP="00146B78">
            <w:pPr>
              <w:jc w:val="center"/>
              <w:rPr>
                <w:color w:val="000000"/>
              </w:rPr>
            </w:pPr>
            <w:r>
              <w:rPr>
                <w:color w:val="000000"/>
              </w:rPr>
              <w:t xml:space="preserve">1 </w:t>
            </w:r>
            <w:r w:rsidRPr="00464481">
              <w:rPr>
                <w:color w:val="000000"/>
              </w:rPr>
              <w:t>gab.</w:t>
            </w:r>
          </w:p>
        </w:tc>
        <w:tc>
          <w:tcPr>
            <w:tcW w:w="2817" w:type="dxa"/>
            <w:tcMar>
              <w:left w:w="28" w:type="dxa"/>
              <w:right w:w="28" w:type="dxa"/>
            </w:tcMar>
            <w:vAlign w:val="center"/>
          </w:tcPr>
          <w:p w:rsidR="00554ED6" w:rsidRPr="00464481" w:rsidRDefault="00554ED6">
            <w:pPr>
              <w:jc w:val="right"/>
              <w:rPr>
                <w:color w:val="000000"/>
              </w:rPr>
            </w:pP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vAlign w:val="center"/>
          </w:tcPr>
          <w:p w:rsidR="00554ED6" w:rsidRPr="00464481" w:rsidRDefault="00554ED6" w:rsidP="00533380"/>
        </w:tc>
      </w:tr>
      <w:tr w:rsidR="00554ED6" w:rsidRPr="00464481" w:rsidTr="00A65883">
        <w:trPr>
          <w:cantSplit/>
          <w:trHeight w:val="457"/>
        </w:trPr>
        <w:tc>
          <w:tcPr>
            <w:tcW w:w="480" w:type="dxa"/>
            <w:tcBorders>
              <w:left w:val="nil"/>
              <w:bottom w:val="nil"/>
              <w:right w:val="nil"/>
            </w:tcBorders>
            <w:tcMar>
              <w:left w:w="28" w:type="dxa"/>
              <w:right w:w="28" w:type="dxa"/>
            </w:tcMar>
            <w:vAlign w:val="center"/>
          </w:tcPr>
          <w:p w:rsidR="00554ED6" w:rsidRPr="00464481" w:rsidRDefault="00554ED6" w:rsidP="00533380">
            <w:pPr>
              <w:jc w:val="center"/>
            </w:pPr>
          </w:p>
        </w:tc>
        <w:tc>
          <w:tcPr>
            <w:tcW w:w="4320" w:type="dxa"/>
            <w:tcBorders>
              <w:left w:val="nil"/>
              <w:bottom w:val="nil"/>
              <w:right w:val="nil"/>
            </w:tcBorders>
            <w:tcMar>
              <w:left w:w="28" w:type="dxa"/>
              <w:right w:w="28" w:type="dxa"/>
            </w:tcMar>
            <w:vAlign w:val="center"/>
          </w:tcPr>
          <w:p w:rsidR="00554ED6" w:rsidRPr="00464481" w:rsidRDefault="00554ED6" w:rsidP="009726C9">
            <w:pPr>
              <w:rPr>
                <w:color w:val="000000"/>
              </w:rPr>
            </w:pPr>
          </w:p>
        </w:tc>
        <w:tc>
          <w:tcPr>
            <w:tcW w:w="903" w:type="dxa"/>
            <w:tcBorders>
              <w:left w:val="nil"/>
              <w:bottom w:val="nil"/>
            </w:tcBorders>
            <w:tcMar>
              <w:left w:w="28" w:type="dxa"/>
              <w:right w:w="28" w:type="dxa"/>
            </w:tcMar>
            <w:vAlign w:val="center"/>
          </w:tcPr>
          <w:p w:rsidR="00554ED6" w:rsidRPr="00464481" w:rsidRDefault="00554ED6" w:rsidP="00EE22A8">
            <w:pPr>
              <w:jc w:val="center"/>
              <w:rPr>
                <w:color w:val="000000"/>
              </w:rPr>
            </w:pPr>
          </w:p>
        </w:tc>
        <w:tc>
          <w:tcPr>
            <w:tcW w:w="2817" w:type="dxa"/>
            <w:tcMar>
              <w:left w:w="28" w:type="dxa"/>
              <w:right w:w="28" w:type="dxa"/>
            </w:tcMar>
            <w:vAlign w:val="center"/>
          </w:tcPr>
          <w:p w:rsidR="00554ED6" w:rsidRPr="00464481" w:rsidRDefault="00554ED6" w:rsidP="00533380">
            <w:r>
              <w:t>K</w:t>
            </w:r>
            <w:r w:rsidRPr="00464481">
              <w:t>opā, bez PVN, EUR</w:t>
            </w: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tcPr>
          <w:p w:rsidR="00554ED6" w:rsidRPr="00464481" w:rsidRDefault="00554ED6" w:rsidP="00533380"/>
        </w:tc>
      </w:tr>
      <w:tr w:rsidR="00554ED6" w:rsidRPr="00464481" w:rsidTr="00A65883">
        <w:trPr>
          <w:cantSplit/>
          <w:trHeight w:val="457"/>
        </w:trPr>
        <w:tc>
          <w:tcPr>
            <w:tcW w:w="480" w:type="dxa"/>
            <w:tcBorders>
              <w:top w:val="nil"/>
              <w:left w:val="nil"/>
              <w:bottom w:val="nil"/>
              <w:right w:val="nil"/>
            </w:tcBorders>
            <w:tcMar>
              <w:left w:w="28" w:type="dxa"/>
              <w:right w:w="28" w:type="dxa"/>
            </w:tcMar>
            <w:vAlign w:val="center"/>
          </w:tcPr>
          <w:p w:rsidR="00554ED6" w:rsidRPr="00464481" w:rsidRDefault="00554ED6" w:rsidP="00533380">
            <w:pPr>
              <w:jc w:val="center"/>
            </w:pPr>
          </w:p>
        </w:tc>
        <w:tc>
          <w:tcPr>
            <w:tcW w:w="4320" w:type="dxa"/>
            <w:tcBorders>
              <w:top w:val="nil"/>
              <w:left w:val="nil"/>
              <w:bottom w:val="nil"/>
              <w:right w:val="nil"/>
            </w:tcBorders>
            <w:tcMar>
              <w:left w:w="28" w:type="dxa"/>
              <w:right w:w="28" w:type="dxa"/>
            </w:tcMar>
            <w:vAlign w:val="center"/>
          </w:tcPr>
          <w:p w:rsidR="00554ED6" w:rsidRPr="00464481" w:rsidRDefault="00554ED6" w:rsidP="009726C9">
            <w:pPr>
              <w:rPr>
                <w:color w:val="000000"/>
              </w:rPr>
            </w:pPr>
          </w:p>
        </w:tc>
        <w:tc>
          <w:tcPr>
            <w:tcW w:w="903" w:type="dxa"/>
            <w:tcBorders>
              <w:top w:val="nil"/>
              <w:left w:val="nil"/>
              <w:bottom w:val="nil"/>
            </w:tcBorders>
            <w:tcMar>
              <w:left w:w="28" w:type="dxa"/>
              <w:right w:w="28" w:type="dxa"/>
            </w:tcMar>
            <w:vAlign w:val="center"/>
          </w:tcPr>
          <w:p w:rsidR="00554ED6" w:rsidRPr="00464481" w:rsidRDefault="00554ED6" w:rsidP="00EE22A8">
            <w:pPr>
              <w:jc w:val="center"/>
              <w:rPr>
                <w:color w:val="000000"/>
              </w:rPr>
            </w:pPr>
          </w:p>
        </w:tc>
        <w:tc>
          <w:tcPr>
            <w:tcW w:w="2817" w:type="dxa"/>
            <w:tcMar>
              <w:left w:w="28" w:type="dxa"/>
              <w:right w:w="28" w:type="dxa"/>
            </w:tcMar>
            <w:vAlign w:val="center"/>
          </w:tcPr>
          <w:p w:rsidR="00554ED6" w:rsidRPr="00464481" w:rsidRDefault="00554ED6" w:rsidP="00533380">
            <w:r w:rsidRPr="00464481">
              <w:t>21% PVN, EUR</w:t>
            </w: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tcPr>
          <w:p w:rsidR="00554ED6" w:rsidRPr="00464481" w:rsidRDefault="00554ED6" w:rsidP="00533380"/>
        </w:tc>
      </w:tr>
      <w:tr w:rsidR="00554ED6" w:rsidRPr="00464481" w:rsidTr="00A65883">
        <w:trPr>
          <w:cantSplit/>
          <w:trHeight w:val="457"/>
        </w:trPr>
        <w:tc>
          <w:tcPr>
            <w:tcW w:w="480" w:type="dxa"/>
            <w:tcBorders>
              <w:top w:val="nil"/>
              <w:left w:val="nil"/>
              <w:bottom w:val="nil"/>
              <w:right w:val="nil"/>
            </w:tcBorders>
            <w:tcMar>
              <w:left w:w="28" w:type="dxa"/>
              <w:right w:w="28" w:type="dxa"/>
            </w:tcMar>
            <w:vAlign w:val="center"/>
          </w:tcPr>
          <w:p w:rsidR="00554ED6" w:rsidRPr="00464481" w:rsidRDefault="00554ED6" w:rsidP="00533380">
            <w:pPr>
              <w:jc w:val="center"/>
            </w:pPr>
          </w:p>
        </w:tc>
        <w:tc>
          <w:tcPr>
            <w:tcW w:w="4320" w:type="dxa"/>
            <w:tcBorders>
              <w:top w:val="nil"/>
              <w:left w:val="nil"/>
              <w:bottom w:val="nil"/>
              <w:right w:val="nil"/>
            </w:tcBorders>
            <w:tcMar>
              <w:left w:w="28" w:type="dxa"/>
              <w:right w:w="28" w:type="dxa"/>
            </w:tcMar>
            <w:vAlign w:val="center"/>
          </w:tcPr>
          <w:p w:rsidR="00554ED6" w:rsidRPr="00464481" w:rsidRDefault="00554ED6" w:rsidP="009726C9">
            <w:pPr>
              <w:rPr>
                <w:color w:val="000000"/>
              </w:rPr>
            </w:pPr>
          </w:p>
        </w:tc>
        <w:tc>
          <w:tcPr>
            <w:tcW w:w="903" w:type="dxa"/>
            <w:tcBorders>
              <w:top w:val="nil"/>
              <w:left w:val="nil"/>
              <w:bottom w:val="nil"/>
            </w:tcBorders>
            <w:tcMar>
              <w:left w:w="28" w:type="dxa"/>
              <w:right w:w="28" w:type="dxa"/>
            </w:tcMar>
            <w:vAlign w:val="center"/>
          </w:tcPr>
          <w:p w:rsidR="00554ED6" w:rsidRPr="00464481" w:rsidRDefault="00554ED6" w:rsidP="00464481">
            <w:pPr>
              <w:jc w:val="center"/>
              <w:rPr>
                <w:color w:val="000000"/>
              </w:rPr>
            </w:pPr>
          </w:p>
        </w:tc>
        <w:tc>
          <w:tcPr>
            <w:tcW w:w="2817" w:type="dxa"/>
            <w:tcMar>
              <w:left w:w="28" w:type="dxa"/>
              <w:right w:w="28" w:type="dxa"/>
            </w:tcMar>
            <w:vAlign w:val="center"/>
          </w:tcPr>
          <w:p w:rsidR="00554ED6" w:rsidRPr="00464481" w:rsidRDefault="00554ED6" w:rsidP="00533380">
            <w:r>
              <w:t>K</w:t>
            </w:r>
            <w:r w:rsidRPr="00464481">
              <w:t>opā, ar 21% PVN, EUR</w:t>
            </w: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tcPr>
          <w:p w:rsidR="00554ED6" w:rsidRPr="00464481" w:rsidRDefault="00554ED6" w:rsidP="00533380"/>
        </w:tc>
      </w:tr>
    </w:tbl>
    <w:p w:rsidR="00336922" w:rsidRPr="00336922" w:rsidRDefault="00336922" w:rsidP="00336922">
      <w:pPr>
        <w:pStyle w:val="Heading1"/>
        <w:spacing w:before="120"/>
        <w:rPr>
          <w:rFonts w:ascii="Times New Roman" w:hAnsi="Times New Roman" w:cs="Times New Roman"/>
          <w:color w:val="000000"/>
          <w:sz w:val="24"/>
          <w:szCs w:val="24"/>
        </w:rPr>
      </w:pPr>
      <w:r w:rsidRPr="00336922">
        <w:rPr>
          <w:rFonts w:ascii="Times New Roman" w:hAnsi="Times New Roman" w:cs="Times New Roman"/>
          <w:color w:val="000000"/>
          <w:sz w:val="24"/>
          <w:szCs w:val="24"/>
        </w:rPr>
        <w:t>3. Preču piegādes nosacījumi</w:t>
      </w:r>
    </w:p>
    <w:p w:rsidR="00336922" w:rsidRPr="00B061C8" w:rsidRDefault="00336922" w:rsidP="00336922">
      <w:pPr>
        <w:spacing w:before="120"/>
        <w:rPr>
          <w:color w:val="000000"/>
        </w:rPr>
      </w:pPr>
      <w:r w:rsidRPr="00B061C8">
        <w:rPr>
          <w:color w:val="000000"/>
        </w:rPr>
        <w:t xml:space="preserve">3.1. </w:t>
      </w:r>
      <w:r w:rsidR="00836177" w:rsidRPr="00B061C8">
        <w:t xml:space="preserve">Preču piegāde </w:t>
      </w:r>
      <w:r w:rsidR="00836177">
        <w:rPr>
          <w:color w:val="000000"/>
        </w:rPr>
        <w:t>– Preču izvešana ar pasūtītāja transportu</w:t>
      </w:r>
      <w:r w:rsidRPr="00B061C8">
        <w:rPr>
          <w:color w:val="000000"/>
        </w:rPr>
        <w:t>.</w:t>
      </w:r>
    </w:p>
    <w:p w:rsidR="00B061C8" w:rsidRPr="00B061C8" w:rsidRDefault="00336922" w:rsidP="00B061C8">
      <w:pPr>
        <w:snapToGrid w:val="0"/>
        <w:spacing w:before="120"/>
      </w:pPr>
      <w:r w:rsidRPr="00B061C8">
        <w:t xml:space="preserve">3.2. </w:t>
      </w:r>
      <w:r w:rsidR="00B061C8" w:rsidRPr="00B061C8">
        <w:t xml:space="preserve">Preču piegāde ir paredzēta 1 (viena) mēneša laikā, skaitot no Līguma noslēgšanas. Balona noma ir paredzēta </w:t>
      </w:r>
      <w:r w:rsidR="00987132">
        <w:rPr>
          <w:color w:val="000000"/>
        </w:rPr>
        <w:t>36 mēneši</w:t>
      </w:r>
      <w:r w:rsidR="00987132" w:rsidRPr="00B061C8">
        <w:t xml:space="preserve"> </w:t>
      </w:r>
      <w:r w:rsidR="00B061C8" w:rsidRPr="00B061C8">
        <w:t xml:space="preserve">vai līdz brīdim, kad balons tiek atgriezts Piegādātājam, ja tas notiek ātrāk par </w:t>
      </w:r>
      <w:r w:rsidR="00987132">
        <w:rPr>
          <w:color w:val="000000"/>
        </w:rPr>
        <w:t>36 mēnešiem</w:t>
      </w:r>
      <w:r w:rsidR="00B061C8" w:rsidRPr="00B061C8">
        <w:t>.</w:t>
      </w:r>
    </w:p>
    <w:p w:rsidR="00336922" w:rsidRPr="00B061C8" w:rsidRDefault="00B061C8" w:rsidP="00B061C8">
      <w:pPr>
        <w:snapToGrid w:val="0"/>
        <w:spacing w:before="120"/>
      </w:pPr>
      <w:r w:rsidRPr="00B061C8">
        <w:t>3.3. Norēķināšanās par Precēm ir paredzēta kā p</w:t>
      </w:r>
      <w:r w:rsidR="00987132">
        <w:t>ēc</w:t>
      </w:r>
      <w:r w:rsidRPr="00B061C8">
        <w:t xml:space="preserve">apmaksa, 15 dienu laikā pēc </w:t>
      </w:r>
      <w:r w:rsidR="00987132">
        <w:t>Preču piegādes</w:t>
      </w:r>
      <w:r w:rsidRPr="00B061C8">
        <w:t>. Norēķināšanās par nomu ir paredzēta katru mēnesi, 15 dienu laikā pēc rēķina saņemšanas.</w:t>
      </w:r>
    </w:p>
    <w:p w:rsidR="00CE23F2" w:rsidRPr="0024445F" w:rsidRDefault="00CE23F2" w:rsidP="00CE23F2">
      <w:pPr>
        <w:ind w:right="-342"/>
      </w:pPr>
    </w:p>
    <w:p w:rsidR="00D73406" w:rsidRPr="0024445F" w:rsidRDefault="00D73406"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CE23F2">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DF19AF" w:rsidRPr="008D0C01" w:rsidRDefault="00DF19AF" w:rsidP="00DF19AF">
      <w:pPr>
        <w:jc w:val="right"/>
        <w:rPr>
          <w:noProof/>
        </w:rPr>
      </w:pPr>
      <w:r>
        <w:br w:type="page"/>
      </w:r>
      <w:r w:rsidRPr="008D0C01">
        <w:rPr>
          <w:noProof/>
        </w:rPr>
        <w:lastRenderedPageBreak/>
        <w:t>3. pielikums</w:t>
      </w:r>
    </w:p>
    <w:p w:rsidR="008D0C01" w:rsidRPr="00977999" w:rsidRDefault="008D0C01" w:rsidP="008D0C01">
      <w:pPr>
        <w:tabs>
          <w:tab w:val="left" w:pos="855"/>
        </w:tabs>
        <w:jc w:val="right"/>
      </w:pPr>
      <w:r w:rsidRPr="00977999">
        <w:t>iepirkuma LU CFI 2015/</w:t>
      </w:r>
      <w:r w:rsidR="00987132">
        <w:t>31</w:t>
      </w:r>
      <w:r w:rsidRPr="00977999">
        <w:t xml:space="preserve"> „Gāzu un piederumu piegāde”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8D71B1" w:rsidRDefault="00DF19AF" w:rsidP="00DF19AF">
      <w:pPr>
        <w:pStyle w:val="Footer"/>
        <w:tabs>
          <w:tab w:val="clear" w:pos="4153"/>
          <w:tab w:val="clear" w:pos="8306"/>
        </w:tabs>
        <w:rPr>
          <w:noProof/>
        </w:rPr>
      </w:pPr>
      <w:r w:rsidRPr="008D71B1">
        <w:rPr>
          <w:noProof/>
        </w:rPr>
        <w:t>Rīgā, 201</w:t>
      </w:r>
      <w:r w:rsidR="00CF60E4">
        <w:rPr>
          <w:noProof/>
        </w:rPr>
        <w:t>5</w:t>
      </w:r>
      <w:r w:rsidRPr="008D71B1">
        <w:rPr>
          <w:noProof/>
        </w:rPr>
        <w:t>. gada __. _________</w:t>
      </w:r>
    </w:p>
    <w:p w:rsidR="00DF19AF" w:rsidRPr="008C2992"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D71B1" w:rsidTr="00533380">
        <w:trPr>
          <w:jc w:val="center"/>
        </w:trPr>
        <w:tc>
          <w:tcPr>
            <w:tcW w:w="4945" w:type="dxa"/>
            <w:tcMar>
              <w:left w:w="28" w:type="dxa"/>
              <w:right w:w="28" w:type="dxa"/>
            </w:tcMar>
          </w:tcPr>
          <w:p w:rsidR="00DF19AF" w:rsidRPr="008D71B1" w:rsidRDefault="00DF19AF" w:rsidP="00533380">
            <w:pPr>
              <w:rPr>
                <w:noProof/>
              </w:rPr>
            </w:pPr>
            <w:r w:rsidRPr="008D71B1">
              <w:rPr>
                <w:noProof/>
              </w:rPr>
              <w:t xml:space="preserve">LU Cietvielu fizikas institūta </w:t>
            </w:r>
          </w:p>
          <w:p w:rsidR="00DF19AF" w:rsidRPr="008D71B1" w:rsidRDefault="00DF19AF" w:rsidP="00533380">
            <w:pPr>
              <w:rPr>
                <w:noProof/>
              </w:rPr>
            </w:pPr>
            <w:r w:rsidRPr="008D71B1">
              <w:rPr>
                <w:noProof/>
              </w:rPr>
              <w:t>līgumu uzskaites Nr. 201</w:t>
            </w:r>
            <w:r w:rsidR="00CF60E4">
              <w:rPr>
                <w:noProof/>
              </w:rPr>
              <w:t>5</w:t>
            </w:r>
            <w:r w:rsidRPr="008D71B1">
              <w:rPr>
                <w:noProof/>
              </w:rPr>
              <w:t>/</w:t>
            </w:r>
            <w:r w:rsidR="00987132">
              <w:rPr>
                <w:noProof/>
              </w:rPr>
              <w:t>31</w:t>
            </w:r>
          </w:p>
          <w:p w:rsidR="00DF19AF" w:rsidRPr="008D71B1" w:rsidRDefault="00DF19AF" w:rsidP="00987132">
            <w:pPr>
              <w:rPr>
                <w:noProof/>
              </w:rPr>
            </w:pPr>
            <w:r w:rsidRPr="008D71B1">
              <w:rPr>
                <w:noProof/>
              </w:rPr>
              <w:t xml:space="preserve">Iepirkuma identifikācijas Nr. </w:t>
            </w:r>
            <w:r w:rsidRPr="008D71B1">
              <w:rPr>
                <w:b/>
                <w:bCs/>
                <w:noProof/>
              </w:rPr>
              <w:t>LU CFI 201</w:t>
            </w:r>
            <w:r w:rsidR="00CF60E4">
              <w:rPr>
                <w:b/>
                <w:bCs/>
                <w:noProof/>
              </w:rPr>
              <w:t>5</w:t>
            </w:r>
            <w:r w:rsidRPr="008D71B1">
              <w:rPr>
                <w:b/>
                <w:bCs/>
                <w:noProof/>
              </w:rPr>
              <w:t>/</w:t>
            </w:r>
            <w:r w:rsidR="00987132">
              <w:rPr>
                <w:b/>
                <w:bCs/>
                <w:noProof/>
              </w:rPr>
              <w:t>31</w:t>
            </w:r>
          </w:p>
        </w:tc>
        <w:tc>
          <w:tcPr>
            <w:tcW w:w="3504" w:type="dxa"/>
            <w:tcMar>
              <w:left w:w="28" w:type="dxa"/>
              <w:right w:w="28" w:type="dxa"/>
            </w:tcMar>
          </w:tcPr>
          <w:p w:rsidR="00DF19AF" w:rsidRPr="008D71B1" w:rsidRDefault="00DF19AF" w:rsidP="00533380">
            <w:pPr>
              <w:pStyle w:val="Heading3"/>
              <w:numPr>
                <w:ilvl w:val="0"/>
                <w:numId w:val="0"/>
              </w:numPr>
              <w:jc w:val="left"/>
              <w:rPr>
                <w:b w:val="0"/>
                <w:bCs w:val="0"/>
                <w:noProof/>
                <w:sz w:val="24"/>
                <w:szCs w:val="24"/>
              </w:rPr>
            </w:pPr>
          </w:p>
          <w:p w:rsidR="00DF19AF" w:rsidRPr="008D71B1" w:rsidRDefault="00DF19AF" w:rsidP="00533380">
            <w:pPr>
              <w:pStyle w:val="Heading3"/>
              <w:numPr>
                <w:ilvl w:val="0"/>
                <w:numId w:val="0"/>
              </w:numPr>
              <w:jc w:val="right"/>
              <w:rPr>
                <w:b w:val="0"/>
                <w:bCs w:val="0"/>
                <w:noProof/>
                <w:sz w:val="24"/>
                <w:szCs w:val="24"/>
              </w:rPr>
            </w:pPr>
            <w:r w:rsidRPr="008D71B1">
              <w:rPr>
                <w:b w:val="0"/>
                <w:bCs w:val="0"/>
                <w:noProof/>
                <w:sz w:val="24"/>
                <w:szCs w:val="24"/>
              </w:rPr>
              <w:t>līgumu uzskaites Nr. __________</w:t>
            </w:r>
          </w:p>
        </w:tc>
      </w:tr>
    </w:tbl>
    <w:p w:rsidR="00DF19AF" w:rsidRPr="008D71B1" w:rsidRDefault="00DF19AF" w:rsidP="00DF19AF">
      <w:pPr>
        <w:spacing w:before="120"/>
        <w:jc w:val="both"/>
      </w:pPr>
      <w:r w:rsidRPr="008D71B1">
        <w:rPr>
          <w:b/>
          <w:bCs/>
        </w:rPr>
        <w:t xml:space="preserve">Latvijas Universitātes Cietvielu fizikas institūts </w:t>
      </w:r>
      <w:r w:rsidRPr="008D71B1">
        <w:t>(turpmāk tekstā LU CFI)</w:t>
      </w:r>
      <w:r w:rsidRPr="008D71B1">
        <w:rPr>
          <w:b/>
          <w:bCs/>
        </w:rPr>
        <w:t xml:space="preserve">, </w:t>
      </w:r>
      <w:r w:rsidRPr="008D71B1">
        <w:t xml:space="preserve">turpmāk tekstā – </w:t>
      </w:r>
      <w:r w:rsidR="008D0C01" w:rsidRPr="00CF60E4">
        <w:rPr>
          <w:b/>
        </w:rPr>
        <w:t>Pasūtītāj</w:t>
      </w:r>
      <w:r w:rsidR="008D0C01">
        <w:rPr>
          <w:b/>
        </w:rPr>
        <w:t>s</w:t>
      </w:r>
      <w:r w:rsidRPr="008D71B1">
        <w:t>, tās direktora Andra Šternberga personā, no vienas puses,</w:t>
      </w:r>
    </w:p>
    <w:p w:rsidR="00DF19AF" w:rsidRPr="008D71B1" w:rsidRDefault="00DF19AF" w:rsidP="00DF19AF">
      <w:pPr>
        <w:spacing w:before="120"/>
        <w:jc w:val="both"/>
      </w:pPr>
      <w:r w:rsidRPr="008D71B1">
        <w:t xml:space="preserve">un </w:t>
      </w:r>
      <w:r w:rsidRPr="008D71B1">
        <w:rPr>
          <w:b/>
          <w:bCs/>
        </w:rPr>
        <w:t>______________________</w:t>
      </w:r>
      <w:r w:rsidRPr="008D71B1">
        <w:t xml:space="preserve">, turpmāk tekstā – </w:t>
      </w:r>
      <w:r w:rsidR="008D0C01" w:rsidRPr="008D71B1">
        <w:rPr>
          <w:b/>
        </w:rPr>
        <w:t>Piegādātājs</w:t>
      </w:r>
      <w:r w:rsidRPr="008D71B1">
        <w:t xml:space="preserve">, tās </w:t>
      </w:r>
      <w:r w:rsidRPr="008D71B1">
        <w:rPr>
          <w:rStyle w:val="Strong"/>
          <w:b w:val="0"/>
          <w:bCs w:val="0"/>
        </w:rPr>
        <w:t>_____________________ ___________________</w:t>
      </w:r>
      <w:r w:rsidRPr="008D71B1">
        <w:t xml:space="preserve"> personā, no otras puses,</w:t>
      </w:r>
    </w:p>
    <w:p w:rsidR="00DF19AF" w:rsidRPr="008D71B1" w:rsidRDefault="00DF19AF" w:rsidP="00DF19AF">
      <w:pPr>
        <w:spacing w:before="120"/>
        <w:jc w:val="both"/>
        <w:rPr>
          <w:noProof/>
        </w:rPr>
      </w:pPr>
      <w:r w:rsidRPr="008D71B1">
        <w:rPr>
          <w:noProof/>
        </w:rPr>
        <w:t xml:space="preserve">turpmāk katrs atsevišķi saukts </w:t>
      </w:r>
      <w:r w:rsidRPr="008D71B1">
        <w:rPr>
          <w:b/>
          <w:noProof/>
        </w:rPr>
        <w:t>Puse</w:t>
      </w:r>
      <w:r w:rsidRPr="008D71B1">
        <w:rPr>
          <w:noProof/>
        </w:rPr>
        <w:t xml:space="preserve"> un abi kopā saukti </w:t>
      </w:r>
      <w:r w:rsidRPr="008D71B1">
        <w:rPr>
          <w:b/>
          <w:noProof/>
        </w:rPr>
        <w:t>Puses</w:t>
      </w:r>
      <w:r w:rsidRPr="008D71B1">
        <w:rPr>
          <w:noProof/>
        </w:rPr>
        <w:t>,</w:t>
      </w:r>
    </w:p>
    <w:p w:rsidR="00DF19AF" w:rsidRPr="008D71B1" w:rsidRDefault="00DF19AF" w:rsidP="00DF19AF">
      <w:pPr>
        <w:spacing w:before="120"/>
        <w:jc w:val="both"/>
        <w:rPr>
          <w:noProof/>
        </w:rPr>
      </w:pPr>
      <w:r w:rsidRPr="008D71B1">
        <w:rPr>
          <w:noProof/>
        </w:rPr>
        <w:t>pamatojoties uz _______________________ piedāvājumu un LU CFI iepirkumu komisijas lēmumu par iepirkum</w:t>
      </w:r>
      <w:r w:rsidR="00C4217D">
        <w:rPr>
          <w:noProof/>
        </w:rPr>
        <w:t>u</w:t>
      </w:r>
      <w:r w:rsidRPr="008D71B1">
        <w:rPr>
          <w:noProof/>
        </w:rPr>
        <w:t xml:space="preserve"> Nr. LU CFI 201</w:t>
      </w:r>
      <w:r w:rsidR="00CF60E4">
        <w:rPr>
          <w:noProof/>
        </w:rPr>
        <w:t>5</w:t>
      </w:r>
      <w:r w:rsidRPr="008D71B1">
        <w:rPr>
          <w:noProof/>
        </w:rPr>
        <w:t>/</w:t>
      </w:r>
      <w:r w:rsidR="00987132">
        <w:t>31</w:t>
      </w:r>
      <w:r w:rsidR="008D0C01" w:rsidRPr="00977999">
        <w:t xml:space="preserve"> „Gāzu un piederumu piegāde”</w:t>
      </w:r>
      <w:r w:rsidRPr="008D71B1">
        <w:rPr>
          <w:noProof/>
        </w:rPr>
        <w:t>,</w:t>
      </w:r>
    </w:p>
    <w:p w:rsidR="00DF19AF" w:rsidRPr="008D71B1" w:rsidRDefault="00DF19AF" w:rsidP="00DF19AF">
      <w:pPr>
        <w:spacing w:before="120"/>
      </w:pPr>
      <w:r w:rsidRPr="008D71B1">
        <w:t xml:space="preserve">noslēdz šādu </w:t>
      </w:r>
      <w:r w:rsidRPr="008D71B1">
        <w:rPr>
          <w:b/>
          <w:bCs/>
        </w:rPr>
        <w:t>Līgumu</w:t>
      </w:r>
      <w:r w:rsidRPr="008D71B1">
        <w:t>:</w:t>
      </w:r>
    </w:p>
    <w:p w:rsidR="00DF19AF" w:rsidRPr="008D71B1" w:rsidRDefault="00DF19AF" w:rsidP="00DF19AF">
      <w:pPr>
        <w:spacing w:before="120"/>
        <w:ind w:left="720"/>
        <w:jc w:val="both"/>
        <w:outlineLvl w:val="0"/>
        <w:rPr>
          <w:b/>
          <w:bCs/>
        </w:rPr>
      </w:pPr>
      <w:r w:rsidRPr="008D71B1">
        <w:rPr>
          <w:b/>
          <w:bCs/>
        </w:rPr>
        <w:t>1. Līguma priekšmets</w:t>
      </w:r>
    </w:p>
    <w:p w:rsidR="00DF19AF" w:rsidRPr="008D71B1" w:rsidRDefault="00DF19AF" w:rsidP="00DF19AF">
      <w:pPr>
        <w:spacing w:before="120"/>
        <w:ind w:firstLine="720"/>
        <w:jc w:val="both"/>
        <w:rPr>
          <w:strike/>
        </w:rPr>
      </w:pPr>
      <w:r w:rsidRPr="008D71B1">
        <w:t>1.1.</w:t>
      </w:r>
      <w:r w:rsidRPr="008D71B1">
        <w:rPr>
          <w:b/>
          <w:bCs/>
        </w:rPr>
        <w:t xml:space="preserve"> </w:t>
      </w:r>
      <w:r w:rsidR="008D0C01" w:rsidRPr="008D71B1">
        <w:rPr>
          <w:b/>
        </w:rPr>
        <w:t>Piegādātājs</w:t>
      </w:r>
      <w:r w:rsidR="008D0C01" w:rsidRPr="008D71B1">
        <w:t xml:space="preserve"> </w:t>
      </w:r>
      <w:r w:rsidRPr="008D71B1">
        <w:t xml:space="preserve">pārdod, bet </w:t>
      </w:r>
      <w:r w:rsidR="008D0C01" w:rsidRPr="00CF60E4">
        <w:rPr>
          <w:b/>
        </w:rPr>
        <w:t>Pasūtītāj</w:t>
      </w:r>
      <w:r w:rsidR="008D0C01">
        <w:rPr>
          <w:b/>
        </w:rPr>
        <w:t>s</w:t>
      </w:r>
      <w:r w:rsidR="008D0C01" w:rsidRPr="008D71B1">
        <w:t xml:space="preserve"> </w:t>
      </w:r>
      <w:r w:rsidRPr="008D71B1">
        <w:t xml:space="preserve">pērk </w:t>
      </w:r>
      <w:r w:rsidR="00C4217D">
        <w:rPr>
          <w:b/>
        </w:rPr>
        <w:t>Gāzes</w:t>
      </w:r>
      <w:r w:rsidR="008D0C01">
        <w:rPr>
          <w:b/>
        </w:rPr>
        <w:t xml:space="preserve"> un piederumus</w:t>
      </w:r>
      <w:r w:rsidRPr="008D71B1">
        <w:rPr>
          <w:b/>
        </w:rPr>
        <w:t xml:space="preserve">  </w:t>
      </w:r>
      <w:r w:rsidRPr="008D71B1">
        <w:t xml:space="preserve">atbilstoši šī </w:t>
      </w:r>
      <w:r w:rsidRPr="008D71B1">
        <w:rPr>
          <w:b/>
          <w:bCs/>
        </w:rPr>
        <w:t>Līguma</w:t>
      </w:r>
      <w:r w:rsidRPr="008D71B1">
        <w:t xml:space="preserve"> 1.pielikumā dotajai tehniskajai specifikācijai (turpmāk tekstā - </w:t>
      </w:r>
      <w:r w:rsidRPr="008D71B1">
        <w:rPr>
          <w:b/>
          <w:bCs/>
        </w:rPr>
        <w:t>Prece</w:t>
      </w:r>
      <w:r w:rsidRPr="008D71B1">
        <w:t>)</w:t>
      </w:r>
      <w:r w:rsidR="00D1483D">
        <w:t xml:space="preserve"> kā arī </w:t>
      </w:r>
      <w:r w:rsidR="00D1483D" w:rsidRPr="008D71B1">
        <w:rPr>
          <w:b/>
          <w:bCs/>
        </w:rPr>
        <w:t>P</w:t>
      </w:r>
      <w:r w:rsidR="00D1483D">
        <w:rPr>
          <w:b/>
          <w:bCs/>
        </w:rPr>
        <w:t>iegādātā</w:t>
      </w:r>
      <w:r w:rsidR="00D1483D" w:rsidRPr="008D71B1">
        <w:rPr>
          <w:b/>
          <w:bCs/>
        </w:rPr>
        <w:t xml:space="preserve">js </w:t>
      </w:r>
      <w:r w:rsidR="00D1483D">
        <w:t>iznomā</w:t>
      </w:r>
      <w:r w:rsidR="00D1483D" w:rsidRPr="0022772C">
        <w:rPr>
          <w:b/>
        </w:rPr>
        <w:t xml:space="preserve"> </w:t>
      </w:r>
      <w:r w:rsidR="00D1483D" w:rsidRPr="008D71B1">
        <w:rPr>
          <w:b/>
        </w:rPr>
        <w:t>Pasūtītāja</w:t>
      </w:r>
      <w:r w:rsidR="00D1483D">
        <w:rPr>
          <w:b/>
        </w:rPr>
        <w:t>m</w:t>
      </w:r>
      <w:r w:rsidR="00D1483D" w:rsidRPr="0022772C">
        <w:t xml:space="preserve"> </w:t>
      </w:r>
      <w:r w:rsidR="00D1483D">
        <w:t xml:space="preserve">1 (vienu) </w:t>
      </w:r>
      <w:r w:rsidR="00D1483D" w:rsidRPr="0022772C">
        <w:t>gāzu balonu</w:t>
      </w:r>
      <w:r w:rsidR="00D1483D">
        <w:t xml:space="preserve"> uz laiku līdz </w:t>
      </w:r>
      <w:r w:rsidR="00987132">
        <w:rPr>
          <w:color w:val="000000"/>
        </w:rPr>
        <w:t>36 mēnešiem</w:t>
      </w:r>
      <w:r w:rsidRPr="008D71B1">
        <w:t>.</w:t>
      </w:r>
    </w:p>
    <w:p w:rsidR="00DF19AF" w:rsidRPr="008D71B1" w:rsidRDefault="00DF19AF" w:rsidP="00DF19AF">
      <w:pPr>
        <w:spacing w:before="120"/>
        <w:ind w:firstLine="7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 ir </w:t>
      </w:r>
      <w:r w:rsidRPr="008D71B1">
        <w:rPr>
          <w:bCs/>
        </w:rPr>
        <w:t xml:space="preserve">_______ EUR </w:t>
      </w:r>
      <w:r w:rsidRPr="008D71B1">
        <w:t>(</w:t>
      </w:r>
      <w:r w:rsidRPr="008D71B1">
        <w:rPr>
          <w:i/>
          <w:iCs/>
        </w:rPr>
        <w:t>summa vārdiem</w:t>
      </w:r>
      <w:r w:rsidRPr="008D71B1">
        <w:t>), tai skaitā PVN 21% (divdesmit viens procents)</w:t>
      </w:r>
      <w:r w:rsidR="009C0542" w:rsidRPr="008D71B1">
        <w:t xml:space="preserve"> </w:t>
      </w:r>
      <w:r w:rsidR="009C0542" w:rsidRPr="008D71B1">
        <w:rPr>
          <w:bCs/>
        </w:rPr>
        <w:t xml:space="preserve">_______ EUR </w:t>
      </w:r>
      <w:r w:rsidRPr="008D71B1">
        <w:t>(</w:t>
      </w:r>
      <w:r w:rsidRPr="008D71B1">
        <w:rPr>
          <w:i/>
          <w:iCs/>
        </w:rPr>
        <w:t>summa vārdiem</w:t>
      </w:r>
      <w:r w:rsidRPr="008D71B1">
        <w:t xml:space="preserve">), turpmāk šā </w:t>
      </w:r>
      <w:r w:rsidRPr="008D71B1">
        <w:rPr>
          <w:b/>
          <w:bCs/>
        </w:rPr>
        <w:t>Līguma</w:t>
      </w:r>
      <w:r w:rsidRPr="008D71B1">
        <w:t xml:space="preserve"> tekstā saukta </w:t>
      </w:r>
      <w:r w:rsidRPr="008D71B1">
        <w:rPr>
          <w:b/>
          <w:bCs/>
        </w:rPr>
        <w:t>Līgumcena</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00836177" w:rsidRPr="00836177">
        <w:rPr>
          <w:b/>
        </w:rPr>
        <w:t>Preču</w:t>
      </w:r>
      <w:r w:rsidR="00836177" w:rsidRPr="00B061C8">
        <w:t xml:space="preserve"> piegāde </w:t>
      </w:r>
      <w:r w:rsidR="00836177">
        <w:rPr>
          <w:color w:val="000000"/>
        </w:rPr>
        <w:t xml:space="preserve">– </w:t>
      </w:r>
      <w:r w:rsidR="00836177" w:rsidRPr="00836177">
        <w:rPr>
          <w:b/>
          <w:color w:val="000000"/>
        </w:rPr>
        <w:t>Preču</w:t>
      </w:r>
      <w:r w:rsidR="00836177">
        <w:rPr>
          <w:color w:val="000000"/>
        </w:rPr>
        <w:t xml:space="preserve"> izvešana ar </w:t>
      </w:r>
      <w:r w:rsidR="00836177" w:rsidRPr="00836177">
        <w:rPr>
          <w:b/>
          <w:color w:val="000000"/>
        </w:rPr>
        <w:t>Pasūtītāja</w:t>
      </w:r>
      <w:r w:rsidR="00836177">
        <w:rPr>
          <w:color w:val="000000"/>
        </w:rPr>
        <w:t xml:space="preserve"> transportu</w:t>
      </w:r>
      <w:r w:rsidR="006C7327">
        <w:t>.</w:t>
      </w:r>
    </w:p>
    <w:p w:rsidR="00181877" w:rsidRPr="008D71B1" w:rsidRDefault="00181877" w:rsidP="00D1483D">
      <w:pPr>
        <w:snapToGrid w:val="0"/>
        <w:spacing w:before="120"/>
      </w:pPr>
      <w:r w:rsidRPr="008D71B1">
        <w:t xml:space="preserve">2.2. </w:t>
      </w:r>
      <w:r w:rsidR="00D1483D" w:rsidRPr="00D1483D">
        <w:rPr>
          <w:b/>
        </w:rPr>
        <w:t>Preču</w:t>
      </w:r>
      <w:r w:rsidR="00D1483D">
        <w:t xml:space="preserve"> piegāde ir paredzēta 1 (viena) mēneša laikā, skaitot no </w:t>
      </w:r>
      <w:r w:rsidR="00D1483D" w:rsidRPr="00D1483D">
        <w:rPr>
          <w:b/>
        </w:rPr>
        <w:t>Līguma</w:t>
      </w:r>
      <w:r w:rsidR="00D1483D">
        <w:t xml:space="preserve"> noslēgšanas. Balona noma</w:t>
      </w:r>
      <w:r w:rsidR="00D1483D" w:rsidRPr="0024445F">
        <w:t xml:space="preserve"> </w:t>
      </w:r>
      <w:r w:rsidR="00D1483D">
        <w:t xml:space="preserve">ir paredzēta </w:t>
      </w:r>
      <w:r w:rsidR="00987132">
        <w:rPr>
          <w:color w:val="000000"/>
        </w:rPr>
        <w:t>36 mēneši</w:t>
      </w:r>
      <w:r w:rsidR="00987132">
        <w:t xml:space="preserve"> </w:t>
      </w:r>
      <w:r w:rsidR="00D1483D">
        <w:t xml:space="preserve">vai līdz brīdim, kad balons tiek atgriezts </w:t>
      </w:r>
      <w:r w:rsidR="00D1483D" w:rsidRPr="008D71B1">
        <w:rPr>
          <w:b/>
        </w:rPr>
        <w:t>Piegādātāj</w:t>
      </w:r>
      <w:r w:rsidR="00D1483D">
        <w:rPr>
          <w:b/>
        </w:rPr>
        <w:t>am</w:t>
      </w:r>
      <w:r w:rsidR="00D1483D">
        <w:t xml:space="preserve">, ja tas notiek ātrāk par </w:t>
      </w:r>
      <w:r w:rsidR="00987132">
        <w:rPr>
          <w:color w:val="000000"/>
        </w:rPr>
        <w:t>36 mēneši</w:t>
      </w:r>
      <w:r w:rsidR="00987132">
        <w:t>e</w:t>
      </w:r>
      <w:r w:rsidR="00D1483D">
        <w:t>m</w:t>
      </w:r>
      <w:r w:rsidRPr="008D71B1">
        <w:t>.</w:t>
      </w:r>
    </w:p>
    <w:p w:rsidR="00181877" w:rsidRPr="008D71B1" w:rsidRDefault="00181877" w:rsidP="00181877">
      <w:pPr>
        <w:spacing w:before="120"/>
        <w:jc w:val="both"/>
      </w:pPr>
      <w:r w:rsidRPr="008D71B1">
        <w:t xml:space="preserve">2.3. </w:t>
      </w:r>
      <w:r w:rsidR="004919DC">
        <w:t>No</w:t>
      </w:r>
      <w:r w:rsidR="004919DC" w:rsidRPr="0024445F">
        <w:t>rēķināšanās</w:t>
      </w:r>
      <w:r w:rsidR="004919DC">
        <w:t xml:space="preserve"> par </w:t>
      </w:r>
      <w:r w:rsidR="004919DC" w:rsidRPr="004919DC">
        <w:rPr>
          <w:b/>
        </w:rPr>
        <w:t>Precēm</w:t>
      </w:r>
      <w:r w:rsidR="004919DC" w:rsidRPr="0024445F">
        <w:t xml:space="preserve"> ir paredzēta kā </w:t>
      </w:r>
      <w:r w:rsidR="00432241" w:rsidRPr="00B061C8">
        <w:t>p</w:t>
      </w:r>
      <w:r w:rsidR="00432241">
        <w:t>ēc</w:t>
      </w:r>
      <w:r w:rsidR="00432241" w:rsidRPr="00B061C8">
        <w:t xml:space="preserve">apmaksa, 15 dienu laikā pēc </w:t>
      </w:r>
      <w:r w:rsidR="00432241" w:rsidRPr="00432241">
        <w:rPr>
          <w:b/>
        </w:rPr>
        <w:t>Preču</w:t>
      </w:r>
      <w:r w:rsidR="00432241">
        <w:t xml:space="preserve"> piegādes</w:t>
      </w:r>
      <w:r w:rsidR="00432241" w:rsidRPr="00B061C8">
        <w:t xml:space="preserve">. </w:t>
      </w:r>
      <w:r w:rsidR="004919DC" w:rsidRPr="00DF19AF">
        <w:t xml:space="preserve"> </w:t>
      </w:r>
      <w:r w:rsidR="004919DC">
        <w:t>No</w:t>
      </w:r>
      <w:r w:rsidR="004919DC" w:rsidRPr="0024445F">
        <w:t>rēķināšanās</w:t>
      </w:r>
      <w:r w:rsidR="004919DC">
        <w:t xml:space="preserve"> par nomu</w:t>
      </w:r>
      <w:r w:rsidR="004919DC" w:rsidRPr="0024445F">
        <w:t xml:space="preserve"> ir paredzēta </w:t>
      </w:r>
      <w:r w:rsidR="004919DC">
        <w:t>katru mēnesi,</w:t>
      </w:r>
      <w:r w:rsidR="004919DC" w:rsidRPr="0024445F">
        <w:t xml:space="preserve"> 15 dienu laikā pēc </w:t>
      </w:r>
      <w:r w:rsidR="004919DC">
        <w:t>rēķina saņemšanas</w:t>
      </w:r>
      <w:r w:rsidR="004919DC" w:rsidRPr="0024445F">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181877" w:rsidRPr="008D71B1" w:rsidRDefault="00181877" w:rsidP="00181877">
      <w:pPr>
        <w:pStyle w:val="BodyTextIndent3"/>
        <w:tabs>
          <w:tab w:val="left" w:pos="825"/>
        </w:tabs>
        <w:spacing w:before="120"/>
        <w:ind w:left="0"/>
        <w:rPr>
          <w:lang w:val="lv-LV"/>
        </w:rPr>
      </w:pPr>
      <w:r w:rsidRPr="008D71B1">
        <w:rPr>
          <w:lang w:val="lv-LV"/>
        </w:rPr>
        <w:t xml:space="preserve">3.2. </w:t>
      </w:r>
      <w:r w:rsidRPr="008D71B1">
        <w:rPr>
          <w:b/>
          <w:lang w:val="lv-LV"/>
        </w:rPr>
        <w:t>Līgums</w:t>
      </w:r>
      <w:r w:rsidRPr="008D71B1">
        <w:rPr>
          <w:lang w:val="lv-LV"/>
        </w:rPr>
        <w:t xml:space="preserve"> sastādīts divos eksemplāros, katrs uz </w:t>
      </w:r>
      <w:r w:rsidR="00EA2146">
        <w:rPr>
          <w:lang w:val="lv-LV"/>
        </w:rPr>
        <w:t>2</w:t>
      </w:r>
      <w:r w:rsidRPr="008D71B1">
        <w:rPr>
          <w:lang w:val="lv-LV"/>
        </w:rPr>
        <w:t xml:space="preserve"> (</w:t>
      </w:r>
      <w:r w:rsidR="00EA2146">
        <w:rPr>
          <w:lang w:val="lv-LV"/>
        </w:rPr>
        <w:t>divām</w:t>
      </w:r>
      <w:r w:rsidRPr="008D71B1">
        <w:rPr>
          <w:lang w:val="lv-LV"/>
        </w:rPr>
        <w:t xml:space="preserve">) lapām, ar vienādu juridisku spēku, no kuriem viens glabājas pie </w:t>
      </w:r>
      <w:r w:rsidRPr="008D71B1">
        <w:rPr>
          <w:b/>
          <w:lang w:val="lv-LV"/>
        </w:rPr>
        <w:t>Pasūtītāja</w:t>
      </w:r>
      <w:r w:rsidRPr="008D71B1">
        <w:rPr>
          <w:lang w:val="lv-LV"/>
        </w:rPr>
        <w:t xml:space="preserve">, viens pie </w:t>
      </w:r>
      <w:r w:rsidRPr="008D71B1">
        <w:rPr>
          <w:b/>
          <w:lang w:val="lv-LV"/>
        </w:rPr>
        <w:t>Piegādātāja</w:t>
      </w:r>
      <w:r w:rsidRPr="008D71B1">
        <w:rPr>
          <w:lang w:val="lv-LV"/>
        </w:rPr>
        <w:t xml:space="preserve">. </w:t>
      </w:r>
      <w:r w:rsidRPr="008D71B1">
        <w:rPr>
          <w:b/>
          <w:lang w:val="lv-LV"/>
        </w:rPr>
        <w:t>Līguma</w:t>
      </w:r>
      <w:r w:rsidRPr="008D71B1">
        <w:rPr>
          <w:lang w:val="lv-LV"/>
        </w:rPr>
        <w:t xml:space="preserve"> 1.pielikums „Tehniskā specifikācija un cenas” ir tā neatņemama sastāvdaļa.</w:t>
      </w:r>
    </w:p>
    <w:p w:rsidR="00181877" w:rsidRPr="008D71B1" w:rsidRDefault="00181877" w:rsidP="00181877">
      <w:pPr>
        <w:pStyle w:val="BodyTextIndent3"/>
        <w:tabs>
          <w:tab w:val="left" w:pos="825"/>
        </w:tabs>
        <w:spacing w:before="120"/>
        <w:ind w:left="0"/>
        <w:rPr>
          <w:lang w:val="lv-LV"/>
        </w:rPr>
      </w:pPr>
      <w:r w:rsidRPr="008D71B1">
        <w:rPr>
          <w:lang w:val="lv-LV"/>
        </w:rPr>
        <w:lastRenderedPageBreak/>
        <w:t xml:space="preserve">3.3.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pa e-pastu veic </w:t>
      </w:r>
      <w:r w:rsidRPr="008D71B1">
        <w:rPr>
          <w:b/>
          <w:lang w:val="lv-LV"/>
        </w:rPr>
        <w:t>Preču</w:t>
      </w:r>
      <w:r w:rsidRPr="008D71B1">
        <w:rPr>
          <w:lang w:val="lv-LV"/>
        </w:rPr>
        <w:t xml:space="preserve"> partiju pasūtījumus, paraksta </w:t>
      </w:r>
      <w:r w:rsidRPr="008D71B1">
        <w:rPr>
          <w:b/>
          <w:lang w:val="lv-LV"/>
        </w:rPr>
        <w:t>Preču</w:t>
      </w:r>
      <w:r w:rsidRPr="008D71B1">
        <w:rPr>
          <w:lang w:val="lv-LV"/>
        </w:rPr>
        <w:t xml:space="preserve"> pavadzīmes.</w:t>
      </w:r>
    </w:p>
    <w:p w:rsidR="00181877" w:rsidRDefault="00181877" w:rsidP="00181877">
      <w:pPr>
        <w:pStyle w:val="BodyTextIndent3"/>
        <w:tabs>
          <w:tab w:val="left" w:pos="825"/>
        </w:tabs>
        <w:spacing w:before="120"/>
        <w:ind w:left="0"/>
        <w:rPr>
          <w:lang w:val="lv-LV"/>
        </w:rPr>
      </w:pPr>
      <w:r w:rsidRPr="008D71B1">
        <w:rPr>
          <w:lang w:val="lv-LV"/>
        </w:rPr>
        <w:t xml:space="preserve">3.4.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CF60E4" w:rsidRPr="00B24C64" w:rsidRDefault="00CF60E4" w:rsidP="00181877">
      <w:pPr>
        <w:pStyle w:val="BodyTextIndent3"/>
        <w:tabs>
          <w:tab w:val="left" w:pos="825"/>
        </w:tabs>
        <w:spacing w:before="120"/>
        <w:ind w:left="0"/>
        <w:rPr>
          <w:bCs/>
          <w:color w:val="000000"/>
          <w:lang w:val="lv-LV"/>
        </w:rPr>
      </w:pPr>
      <w:r w:rsidRPr="00B24C64">
        <w:rPr>
          <w:color w:val="000000"/>
          <w:lang w:val="lv-LV"/>
        </w:rPr>
        <w:t xml:space="preserve">3.5. </w:t>
      </w:r>
      <w:proofErr w:type="spellStart"/>
      <w:proofErr w:type="gramStart"/>
      <w:r w:rsidRPr="00B24C64">
        <w:rPr>
          <w:rFonts w:eastAsia="Times New Roman"/>
          <w:color w:val="000000"/>
        </w:rPr>
        <w:t>Grozījumus</w:t>
      </w:r>
      <w:proofErr w:type="spellEnd"/>
      <w:r w:rsidRPr="00B24C64">
        <w:rPr>
          <w:rFonts w:eastAsia="Times New Roman"/>
          <w:color w:val="000000"/>
        </w:rPr>
        <w:t xml:space="preserve"> </w:t>
      </w:r>
      <w:proofErr w:type="spellStart"/>
      <w:r w:rsidRPr="00B24C64">
        <w:rPr>
          <w:rFonts w:eastAsia="Times New Roman"/>
          <w:b/>
          <w:color w:val="000000"/>
        </w:rPr>
        <w:t>Līgumā</w:t>
      </w:r>
      <w:proofErr w:type="spellEnd"/>
      <w:r w:rsidRPr="00B24C64">
        <w:rPr>
          <w:rFonts w:eastAsia="Times New Roman"/>
          <w:color w:val="000000"/>
        </w:rPr>
        <w:t xml:space="preserve"> </w:t>
      </w:r>
      <w:proofErr w:type="spellStart"/>
      <w:r w:rsidRPr="00B24C64">
        <w:rPr>
          <w:rFonts w:eastAsia="Times New Roman"/>
          <w:color w:val="000000"/>
        </w:rPr>
        <w:t>izdara</w:t>
      </w:r>
      <w:proofErr w:type="spellEnd"/>
      <w:r w:rsidRPr="00B24C64">
        <w:rPr>
          <w:rFonts w:eastAsia="Times New Roman"/>
          <w:color w:val="000000"/>
        </w:rPr>
        <w:t xml:space="preserve">, </w:t>
      </w:r>
      <w:proofErr w:type="spellStart"/>
      <w:r w:rsidRPr="00B24C64">
        <w:rPr>
          <w:rFonts w:eastAsia="Times New Roman"/>
          <w:color w:val="000000"/>
        </w:rPr>
        <w:t>ievērojot</w:t>
      </w:r>
      <w:proofErr w:type="spellEnd"/>
      <w:r w:rsidRPr="00B24C64">
        <w:rPr>
          <w:rFonts w:eastAsia="Times New Roman"/>
          <w:color w:val="000000"/>
        </w:rPr>
        <w:t xml:space="preserve"> </w:t>
      </w:r>
      <w:proofErr w:type="spellStart"/>
      <w:r w:rsidRPr="00B24C64">
        <w:rPr>
          <w:rFonts w:eastAsia="Times New Roman"/>
          <w:color w:val="000000"/>
        </w:rPr>
        <w:t>Publisko</w:t>
      </w:r>
      <w:proofErr w:type="spellEnd"/>
      <w:r w:rsidRPr="00B24C64">
        <w:rPr>
          <w:rFonts w:eastAsia="Times New Roman"/>
          <w:color w:val="000000"/>
        </w:rPr>
        <w:t xml:space="preserve"> </w:t>
      </w:r>
      <w:proofErr w:type="spellStart"/>
      <w:r w:rsidRPr="00B24C64">
        <w:rPr>
          <w:rFonts w:eastAsia="Times New Roman"/>
          <w:color w:val="000000"/>
        </w:rPr>
        <w:t>iepirkumu</w:t>
      </w:r>
      <w:proofErr w:type="spellEnd"/>
      <w:r w:rsidRPr="00B24C64">
        <w:rPr>
          <w:rFonts w:eastAsia="Times New Roman"/>
          <w:color w:val="000000"/>
        </w:rPr>
        <w:t xml:space="preserve"> </w:t>
      </w:r>
      <w:proofErr w:type="spellStart"/>
      <w:r w:rsidRPr="00B24C64">
        <w:rPr>
          <w:rFonts w:eastAsia="Times New Roman"/>
          <w:color w:val="000000"/>
        </w:rPr>
        <w:t>likuma</w:t>
      </w:r>
      <w:proofErr w:type="spellEnd"/>
      <w:r w:rsidRPr="00B24C64">
        <w:rPr>
          <w:rFonts w:eastAsia="Times New Roman"/>
          <w:color w:val="000000"/>
        </w:rPr>
        <w:t xml:space="preserve"> </w:t>
      </w:r>
      <w:hyperlink r:id="rId11" w:anchor="p67.1#p67.1" w:history="1">
        <w:r w:rsidRPr="00B24C64">
          <w:rPr>
            <w:rFonts w:eastAsia="Times New Roman"/>
            <w:color w:val="000000"/>
          </w:rPr>
          <w:t>67.</w:t>
        </w:r>
        <w:r w:rsidRPr="00B24C64">
          <w:rPr>
            <w:rFonts w:eastAsia="Times New Roman"/>
            <w:color w:val="000000"/>
            <w:vertAlign w:val="superscript"/>
          </w:rPr>
          <w:t>1</w:t>
        </w:r>
      </w:hyperlink>
      <w:r w:rsidRPr="00B24C64">
        <w:rPr>
          <w:rFonts w:eastAsia="Times New Roman"/>
          <w:color w:val="000000"/>
        </w:rPr>
        <w:t xml:space="preserve"> </w:t>
      </w:r>
      <w:proofErr w:type="spellStart"/>
      <w:r w:rsidRPr="00B24C64">
        <w:rPr>
          <w:rFonts w:eastAsia="Times New Roman"/>
          <w:color w:val="000000"/>
        </w:rPr>
        <w:t>panta</w:t>
      </w:r>
      <w:proofErr w:type="spellEnd"/>
      <w:r w:rsidRPr="00B24C64">
        <w:rPr>
          <w:rFonts w:eastAsia="Times New Roman"/>
          <w:color w:val="000000"/>
        </w:rPr>
        <w:t xml:space="preserve"> </w:t>
      </w:r>
      <w:proofErr w:type="spellStart"/>
      <w:r w:rsidRPr="00B24C64">
        <w:rPr>
          <w:rFonts w:eastAsia="Times New Roman"/>
          <w:color w:val="000000"/>
        </w:rPr>
        <w:t>noteikumus</w:t>
      </w:r>
      <w:proofErr w:type="spellEnd"/>
      <w:r w:rsidRPr="00B24C64">
        <w:rPr>
          <w:rFonts w:eastAsia="Times New Roman"/>
          <w:color w:val="000000"/>
        </w:rPr>
        <w:t>.</w:t>
      </w:r>
      <w:proofErr w:type="gramEnd"/>
    </w:p>
    <w:p w:rsidR="00DF19AF" w:rsidRPr="008D71B1" w:rsidRDefault="00DF19AF" w:rsidP="00DF19AF">
      <w:pPr>
        <w:spacing w:before="120"/>
        <w:ind w:firstLine="720"/>
        <w:jc w:val="both"/>
        <w:outlineLvl w:val="0"/>
        <w:rPr>
          <w:b/>
          <w:bCs/>
        </w:rPr>
      </w:pPr>
    </w:p>
    <w:p w:rsidR="00DF19AF" w:rsidRPr="008D71B1" w:rsidRDefault="00DF19AF" w:rsidP="00DF19AF">
      <w:pPr>
        <w:spacing w:before="120"/>
        <w:ind w:firstLine="720"/>
        <w:jc w:val="both"/>
        <w:outlineLvl w:val="0"/>
        <w:rPr>
          <w:b/>
          <w:bCs/>
        </w:rPr>
      </w:pPr>
      <w:r w:rsidRPr="008D71B1">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AA6D79" w:rsidP="00533380">
            <w:pPr>
              <w:spacing w:before="120" w:after="120"/>
              <w:jc w:val="both"/>
              <w:rPr>
                <w:b/>
                <w:bCs/>
              </w:rPr>
            </w:pPr>
            <w:r w:rsidRPr="00CF60E4">
              <w:rPr>
                <w:b/>
              </w:rPr>
              <w:t>Pasūtītāj</w:t>
            </w:r>
            <w:r>
              <w:rPr>
                <w:b/>
              </w:rPr>
              <w:t>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8D0C01" w:rsidP="00533380">
            <w:pPr>
              <w:pStyle w:val="TOC1"/>
              <w:tabs>
                <w:tab w:val="clear" w:pos="9249"/>
              </w:tabs>
              <w:spacing w:after="120"/>
            </w:pPr>
            <w:r w:rsidRPr="008D71B1">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Norēķinu konts: LV</w:t>
            </w:r>
            <w:r w:rsidR="009C0542" w:rsidRPr="008D71B1">
              <w:t>74</w:t>
            </w:r>
            <w:r w:rsidRPr="008D71B1">
              <w:t>TREL915021900</w:t>
            </w:r>
            <w:r w:rsidR="009C0542" w:rsidRPr="008D71B1">
              <w:t>5</w:t>
            </w:r>
            <w:r w:rsidRPr="008D71B1">
              <w:t>000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AA6D79" w:rsidP="00533380">
            <w:pPr>
              <w:spacing w:before="120" w:after="120"/>
              <w:rPr>
                <w:b/>
              </w:rPr>
            </w:pPr>
            <w:r w:rsidRPr="00CF60E4">
              <w:rPr>
                <w:b/>
              </w:rPr>
              <w:t>Pasūtītāj</w:t>
            </w:r>
            <w:r>
              <w:rPr>
                <w:b/>
              </w:rPr>
              <w:t>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8D0C01" w:rsidP="00533380">
            <w:pPr>
              <w:spacing w:before="120" w:after="120"/>
              <w:rPr>
                <w:b/>
              </w:rPr>
            </w:pPr>
            <w:r w:rsidRPr="008D71B1">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jc w:val="right"/>
        <w:rPr>
          <w:noProof/>
          <w:sz w:val="22"/>
          <w:szCs w:val="22"/>
        </w:rPr>
      </w:pPr>
      <w:r w:rsidRPr="008C2992">
        <w:rPr>
          <w:noProof/>
          <w:sz w:val="22"/>
          <w:szCs w:val="22"/>
        </w:rPr>
        <w:br w:type="page"/>
      </w:r>
      <w:r w:rsidRPr="008C2992">
        <w:rPr>
          <w:noProof/>
          <w:sz w:val="22"/>
          <w:szCs w:val="22"/>
        </w:rPr>
        <w:lastRenderedPageBreak/>
        <w:t>1. pielikums</w:t>
      </w:r>
    </w:p>
    <w:p w:rsidR="00DF19AF" w:rsidRPr="00554B78" w:rsidRDefault="00DF19AF" w:rsidP="00DF19AF">
      <w:pPr>
        <w:tabs>
          <w:tab w:val="left" w:pos="855"/>
        </w:tabs>
        <w:jc w:val="right"/>
        <w:rPr>
          <w:noProof/>
          <w:sz w:val="22"/>
          <w:szCs w:val="22"/>
        </w:rPr>
      </w:pPr>
      <w:r w:rsidRPr="00554B78">
        <w:rPr>
          <w:noProof/>
          <w:sz w:val="22"/>
          <w:szCs w:val="22"/>
        </w:rPr>
        <w:t>Līgumam Nr. 201</w:t>
      </w:r>
      <w:r w:rsidR="00CF60E4">
        <w:rPr>
          <w:noProof/>
          <w:sz w:val="22"/>
          <w:szCs w:val="22"/>
        </w:rPr>
        <w:t>5</w:t>
      </w:r>
      <w:r w:rsidRPr="00554B78">
        <w:rPr>
          <w:noProof/>
          <w:sz w:val="22"/>
          <w:szCs w:val="22"/>
        </w:rPr>
        <w:t>/</w:t>
      </w:r>
      <w:r w:rsidR="00432241">
        <w:rPr>
          <w:noProof/>
          <w:sz w:val="22"/>
          <w:szCs w:val="22"/>
        </w:rPr>
        <w:t>31</w:t>
      </w:r>
      <w:r w:rsidRPr="00554B78">
        <w:rPr>
          <w:noProof/>
          <w:sz w:val="22"/>
          <w:szCs w:val="22"/>
        </w:rPr>
        <w:t xml:space="preserve">  „</w:t>
      </w:r>
      <w:r w:rsidR="00585473">
        <w:rPr>
          <w:sz w:val="22"/>
          <w:szCs w:val="22"/>
        </w:rPr>
        <w:t>Gāzu</w:t>
      </w:r>
      <w:r w:rsidR="008D0C01">
        <w:rPr>
          <w:sz w:val="22"/>
          <w:szCs w:val="22"/>
        </w:rPr>
        <w:t xml:space="preserve"> un piederumu</w:t>
      </w:r>
      <w:r w:rsidR="00585473">
        <w:rPr>
          <w:sz w:val="22"/>
          <w:szCs w:val="22"/>
        </w:rPr>
        <w:t xml:space="preserve"> piegāde</w:t>
      </w:r>
      <w:r w:rsidRPr="00554B78">
        <w:rPr>
          <w:noProof/>
          <w:sz w:val="22"/>
          <w:szCs w:val="22"/>
        </w:rPr>
        <w:t>”</w:t>
      </w: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r w:rsidRPr="008C2992">
        <w:rPr>
          <w:rFonts w:ascii="Times New Roman" w:hAnsi="Times New Roman" w:cs="Times New Roman"/>
          <w:noProof/>
          <w:sz w:val="24"/>
          <w:szCs w:val="24"/>
        </w:rPr>
        <w:t>Tehniskā specifikācija</w:t>
      </w:r>
      <w:r>
        <w:rPr>
          <w:rFonts w:ascii="Times New Roman" w:hAnsi="Times New Roman" w:cs="Times New Roman"/>
          <w:noProof/>
          <w:sz w:val="24"/>
          <w:szCs w:val="24"/>
        </w:rPr>
        <w:t xml:space="preserve"> un cenas</w:t>
      </w:r>
    </w:p>
    <w:p w:rsidR="00DF19AF" w:rsidRPr="008C2992" w:rsidRDefault="00DF19AF" w:rsidP="00DF19AF">
      <w:pPr>
        <w:rPr>
          <w:noProof/>
          <w:lang w:eastAsia="ar-SA"/>
        </w:rPr>
      </w:pPr>
    </w:p>
    <w:p w:rsidR="00DF19AF" w:rsidRPr="008C2992" w:rsidRDefault="00DF19AF" w:rsidP="00DF19AF">
      <w:pPr>
        <w:rPr>
          <w:noProof/>
          <w:sz w:val="22"/>
          <w:szCs w:val="22"/>
          <w:lang w:eastAsia="ar-SA"/>
        </w:rPr>
      </w:pPr>
    </w:p>
    <w:p w:rsidR="00DF19AF" w:rsidRPr="008C2992" w:rsidRDefault="00C93689" w:rsidP="00DF19AF">
      <w:pPr>
        <w:rPr>
          <w:noProof/>
          <w:sz w:val="22"/>
          <w:szCs w:val="22"/>
          <w:lang w:eastAsia="ar-SA"/>
        </w:rPr>
      </w:pPr>
      <w:r>
        <w:rPr>
          <w:noProof/>
          <w:sz w:val="22"/>
          <w:szCs w:val="22"/>
          <w:lang w:eastAsia="ar-SA"/>
        </w:rPr>
        <w:t>(Šeit ti</w:t>
      </w:r>
      <w:r w:rsidR="00DF19AF" w:rsidRPr="008C2992">
        <w:rPr>
          <w:noProof/>
          <w:sz w:val="22"/>
          <w:szCs w:val="22"/>
          <w:lang w:eastAsia="ar-SA"/>
        </w:rPr>
        <w:t>k</w:t>
      </w:r>
      <w:r>
        <w:rPr>
          <w:noProof/>
          <w:sz w:val="22"/>
          <w:szCs w:val="22"/>
          <w:lang w:eastAsia="ar-SA"/>
        </w:rPr>
        <w:t xml:space="preserve">s </w:t>
      </w:r>
      <w:r w:rsidR="00DF19AF" w:rsidRPr="008C2992">
        <w:rPr>
          <w:noProof/>
          <w:sz w:val="22"/>
          <w:szCs w:val="22"/>
          <w:lang w:eastAsia="ar-SA"/>
        </w:rPr>
        <w:t>ievietota Tehniskā</w:t>
      </w:r>
      <w:r w:rsidR="00DF19AF">
        <w:rPr>
          <w:noProof/>
          <w:sz w:val="22"/>
          <w:szCs w:val="22"/>
          <w:lang w:eastAsia="ar-SA"/>
        </w:rPr>
        <w:t xml:space="preserve"> un Finanšu</w:t>
      </w:r>
      <w:r w:rsidR="00DF19AF" w:rsidRPr="008C2992">
        <w:rPr>
          <w:noProof/>
          <w:sz w:val="22"/>
          <w:szCs w:val="22"/>
          <w:lang w:eastAsia="ar-SA"/>
        </w:rPr>
        <w:t xml:space="preserve"> piedāvājuma tabula no </w:t>
      </w:r>
      <w:r w:rsidR="00DF19AF">
        <w:rPr>
          <w:noProof/>
          <w:sz w:val="22"/>
          <w:szCs w:val="22"/>
        </w:rPr>
        <w:t>P</w:t>
      </w:r>
      <w:r w:rsidR="008D0C01">
        <w:rPr>
          <w:noProof/>
          <w:sz w:val="22"/>
          <w:szCs w:val="22"/>
        </w:rPr>
        <w:t>iegādātā</w:t>
      </w:r>
      <w:r w:rsidR="00DF19AF">
        <w:rPr>
          <w:noProof/>
          <w:sz w:val="22"/>
          <w:szCs w:val="22"/>
        </w:rPr>
        <w:t>ja</w:t>
      </w:r>
      <w:r w:rsidR="00DF19AF" w:rsidRPr="008C2992">
        <w:rPr>
          <w:noProof/>
          <w:sz w:val="22"/>
          <w:szCs w:val="22"/>
          <w:lang w:eastAsia="ar-SA"/>
        </w:rPr>
        <w:t xml:space="preserve"> piedāvājuma)</w:t>
      </w:r>
    </w:p>
    <w:p w:rsidR="00DF19AF" w:rsidRPr="008C2992" w:rsidRDefault="00DF19AF" w:rsidP="00DF19AF">
      <w:pPr>
        <w:rPr>
          <w:noProof/>
          <w:lang w:eastAsia="ar-SA"/>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9E3537" w:rsidTr="00533380">
        <w:tc>
          <w:tcPr>
            <w:tcW w:w="4783" w:type="dxa"/>
            <w:vAlign w:val="center"/>
          </w:tcPr>
          <w:p w:rsidR="00DF19AF" w:rsidRPr="009E3537" w:rsidRDefault="00DF19AF" w:rsidP="00533380">
            <w:pPr>
              <w:spacing w:before="120" w:after="120"/>
              <w:jc w:val="both"/>
              <w:rPr>
                <w:b/>
                <w:noProof/>
              </w:rPr>
            </w:pPr>
          </w:p>
          <w:p w:rsidR="00DF19AF" w:rsidRPr="009E3537" w:rsidRDefault="00AA6D79" w:rsidP="00533380">
            <w:pPr>
              <w:spacing w:before="120" w:after="120"/>
              <w:jc w:val="both"/>
              <w:rPr>
                <w:b/>
                <w:bCs/>
                <w:noProof/>
              </w:rPr>
            </w:pPr>
            <w:r w:rsidRPr="00CF60E4">
              <w:rPr>
                <w:b/>
              </w:rPr>
              <w:t>Pasūtītāj</w:t>
            </w:r>
            <w:r>
              <w:rPr>
                <w:b/>
              </w:rPr>
              <w:t>s</w:t>
            </w:r>
            <w:r w:rsidR="00DF19AF" w:rsidRPr="009E3537">
              <w:rPr>
                <w:b/>
                <w:bCs/>
                <w:noProof/>
              </w:rPr>
              <w:t>:</w:t>
            </w:r>
          </w:p>
        </w:tc>
        <w:tc>
          <w:tcPr>
            <w:tcW w:w="4326" w:type="dxa"/>
            <w:vAlign w:val="center"/>
          </w:tcPr>
          <w:p w:rsidR="00DF19AF" w:rsidRPr="009E3537" w:rsidRDefault="00DF19AF" w:rsidP="00533380">
            <w:pPr>
              <w:pStyle w:val="TOC1"/>
              <w:tabs>
                <w:tab w:val="clear" w:pos="9249"/>
              </w:tabs>
              <w:spacing w:after="120"/>
              <w:rPr>
                <w:noProof/>
              </w:rPr>
            </w:pPr>
          </w:p>
          <w:p w:rsidR="00DF19AF" w:rsidRPr="009E3537" w:rsidRDefault="008D0C01" w:rsidP="00533380">
            <w:pPr>
              <w:pStyle w:val="TOC1"/>
              <w:tabs>
                <w:tab w:val="clear" w:pos="9249"/>
              </w:tabs>
              <w:spacing w:after="120"/>
              <w:rPr>
                <w:noProof/>
              </w:rPr>
            </w:pPr>
            <w:r w:rsidRPr="008D71B1">
              <w:t>Piegādātājs</w:t>
            </w:r>
            <w:r w:rsidR="00DF19AF" w:rsidRPr="009E3537">
              <w:rPr>
                <w:noProof/>
              </w:rPr>
              <w:t>:</w:t>
            </w:r>
          </w:p>
        </w:tc>
      </w:tr>
      <w:tr w:rsidR="00DF19AF" w:rsidRPr="009E3537" w:rsidTr="00533380">
        <w:tc>
          <w:tcPr>
            <w:tcW w:w="4783"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______________________</w:t>
            </w:r>
          </w:p>
          <w:p w:rsidR="00DF19AF" w:rsidRPr="009E3537" w:rsidRDefault="00DF19AF" w:rsidP="00533380">
            <w:pPr>
              <w:rPr>
                <w:noProof/>
              </w:rPr>
            </w:pPr>
            <w:r w:rsidRPr="009E3537">
              <w:rPr>
                <w:noProof/>
              </w:rPr>
              <w:t>paraksts                    Z.v.</w:t>
            </w:r>
          </w:p>
        </w:tc>
        <w:tc>
          <w:tcPr>
            <w:tcW w:w="4326"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w:t>
            </w:r>
          </w:p>
          <w:p w:rsidR="00DF19AF" w:rsidRPr="009E3537" w:rsidRDefault="00DF19AF" w:rsidP="00533380">
            <w:pPr>
              <w:rPr>
                <w:noProof/>
              </w:rPr>
            </w:pPr>
            <w:r w:rsidRPr="009E3537">
              <w:rPr>
                <w:noProof/>
              </w:rPr>
              <w:t>paraksts                    Z.v.</w:t>
            </w:r>
          </w:p>
        </w:tc>
      </w:tr>
    </w:tbl>
    <w:p w:rsidR="00DF19AF" w:rsidRPr="008C2992" w:rsidRDefault="00DF19AF" w:rsidP="00DF19AF">
      <w:pPr>
        <w:rPr>
          <w:noProof/>
        </w:rPr>
      </w:pPr>
    </w:p>
    <w:p w:rsidR="00DF19AF" w:rsidRPr="008C2992" w:rsidRDefault="00DF19AF" w:rsidP="00DF19AF">
      <w:pPr>
        <w:rPr>
          <w:noProof/>
        </w:rPr>
      </w:pPr>
    </w:p>
    <w:p w:rsidR="00935D6E" w:rsidRDefault="00935D6E" w:rsidP="000F799F"/>
    <w:sectPr w:rsidR="00935D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6C" w:rsidRDefault="0029466C">
      <w:r>
        <w:separator/>
      </w:r>
    </w:p>
  </w:endnote>
  <w:endnote w:type="continuationSeparator" w:id="0">
    <w:p w:rsidR="0029466C" w:rsidRDefault="0029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39C">
      <w:rPr>
        <w:rStyle w:val="PageNumber"/>
        <w:noProof/>
      </w:rPr>
      <w:t>1</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6C" w:rsidRDefault="0029466C">
      <w:r>
        <w:separator/>
      </w:r>
    </w:p>
  </w:footnote>
  <w:footnote w:type="continuationSeparator" w:id="0">
    <w:p w:rsidR="0029466C" w:rsidRDefault="00294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4A24"/>
    <w:rsid w:val="00057B4C"/>
    <w:rsid w:val="000634C8"/>
    <w:rsid w:val="00070486"/>
    <w:rsid w:val="00076BCE"/>
    <w:rsid w:val="00076C98"/>
    <w:rsid w:val="000872D4"/>
    <w:rsid w:val="000936B3"/>
    <w:rsid w:val="0009587E"/>
    <w:rsid w:val="000B7044"/>
    <w:rsid w:val="000F53F3"/>
    <w:rsid w:val="000F799F"/>
    <w:rsid w:val="001008DF"/>
    <w:rsid w:val="00104621"/>
    <w:rsid w:val="00112E2C"/>
    <w:rsid w:val="0012356E"/>
    <w:rsid w:val="00137C14"/>
    <w:rsid w:val="00150851"/>
    <w:rsid w:val="00172111"/>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4445F"/>
    <w:rsid w:val="00256DC0"/>
    <w:rsid w:val="0027153F"/>
    <w:rsid w:val="00272D5B"/>
    <w:rsid w:val="00273823"/>
    <w:rsid w:val="002739E8"/>
    <w:rsid w:val="002875CF"/>
    <w:rsid w:val="0029466C"/>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F059F"/>
    <w:rsid w:val="00403B39"/>
    <w:rsid w:val="0040559E"/>
    <w:rsid w:val="004154A6"/>
    <w:rsid w:val="00432241"/>
    <w:rsid w:val="00453AB6"/>
    <w:rsid w:val="00464481"/>
    <w:rsid w:val="0046496B"/>
    <w:rsid w:val="00485BB8"/>
    <w:rsid w:val="0049055C"/>
    <w:rsid w:val="004919DC"/>
    <w:rsid w:val="0049482C"/>
    <w:rsid w:val="00497356"/>
    <w:rsid w:val="004A4435"/>
    <w:rsid w:val="004B72F6"/>
    <w:rsid w:val="004C4AD5"/>
    <w:rsid w:val="004C5492"/>
    <w:rsid w:val="004C69DA"/>
    <w:rsid w:val="00504B5A"/>
    <w:rsid w:val="00514479"/>
    <w:rsid w:val="00514A3C"/>
    <w:rsid w:val="00533380"/>
    <w:rsid w:val="0053689B"/>
    <w:rsid w:val="0055327E"/>
    <w:rsid w:val="005547D4"/>
    <w:rsid w:val="00554B78"/>
    <w:rsid w:val="00554ED6"/>
    <w:rsid w:val="00555520"/>
    <w:rsid w:val="00555D48"/>
    <w:rsid w:val="0055774D"/>
    <w:rsid w:val="005700B2"/>
    <w:rsid w:val="00585473"/>
    <w:rsid w:val="00585D06"/>
    <w:rsid w:val="005873D6"/>
    <w:rsid w:val="005951B7"/>
    <w:rsid w:val="00597087"/>
    <w:rsid w:val="00597B1E"/>
    <w:rsid w:val="005B6284"/>
    <w:rsid w:val="005C2249"/>
    <w:rsid w:val="005C404D"/>
    <w:rsid w:val="005D26AD"/>
    <w:rsid w:val="005D790E"/>
    <w:rsid w:val="005E19A9"/>
    <w:rsid w:val="005E4E35"/>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4213C"/>
    <w:rsid w:val="00770BD5"/>
    <w:rsid w:val="00777B96"/>
    <w:rsid w:val="00787507"/>
    <w:rsid w:val="007A5C02"/>
    <w:rsid w:val="007B13E7"/>
    <w:rsid w:val="007B18A3"/>
    <w:rsid w:val="007C02D0"/>
    <w:rsid w:val="007C5CD2"/>
    <w:rsid w:val="007E12B3"/>
    <w:rsid w:val="007E75BF"/>
    <w:rsid w:val="007F275F"/>
    <w:rsid w:val="00802EDF"/>
    <w:rsid w:val="0080361B"/>
    <w:rsid w:val="00817BBE"/>
    <w:rsid w:val="008215A6"/>
    <w:rsid w:val="008224F5"/>
    <w:rsid w:val="00836177"/>
    <w:rsid w:val="0083762F"/>
    <w:rsid w:val="008659D6"/>
    <w:rsid w:val="00870A02"/>
    <w:rsid w:val="00873BB1"/>
    <w:rsid w:val="0088079D"/>
    <w:rsid w:val="008A06D2"/>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12827"/>
    <w:rsid w:val="00924144"/>
    <w:rsid w:val="00935D6E"/>
    <w:rsid w:val="0093756E"/>
    <w:rsid w:val="009400C1"/>
    <w:rsid w:val="00941F0A"/>
    <w:rsid w:val="009459FE"/>
    <w:rsid w:val="00956F8B"/>
    <w:rsid w:val="009726C9"/>
    <w:rsid w:val="00977999"/>
    <w:rsid w:val="00987132"/>
    <w:rsid w:val="009A244D"/>
    <w:rsid w:val="009A7B7B"/>
    <w:rsid w:val="009C045C"/>
    <w:rsid w:val="009C0542"/>
    <w:rsid w:val="009D0039"/>
    <w:rsid w:val="009D7540"/>
    <w:rsid w:val="009E3537"/>
    <w:rsid w:val="009E4C4F"/>
    <w:rsid w:val="00A17D09"/>
    <w:rsid w:val="00A262B9"/>
    <w:rsid w:val="00A51214"/>
    <w:rsid w:val="00A65883"/>
    <w:rsid w:val="00A77E3A"/>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762E"/>
    <w:rsid w:val="00B60B82"/>
    <w:rsid w:val="00B667D8"/>
    <w:rsid w:val="00B72C71"/>
    <w:rsid w:val="00B75537"/>
    <w:rsid w:val="00B91A7B"/>
    <w:rsid w:val="00BA3BD6"/>
    <w:rsid w:val="00BB7326"/>
    <w:rsid w:val="00BD724E"/>
    <w:rsid w:val="00BE52DD"/>
    <w:rsid w:val="00BF0AD1"/>
    <w:rsid w:val="00BF54F9"/>
    <w:rsid w:val="00C006C5"/>
    <w:rsid w:val="00C01D6B"/>
    <w:rsid w:val="00C0239C"/>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D1366"/>
    <w:rsid w:val="00DD26D3"/>
    <w:rsid w:val="00DF19AF"/>
    <w:rsid w:val="00DF52CF"/>
    <w:rsid w:val="00E12CDD"/>
    <w:rsid w:val="00E47457"/>
    <w:rsid w:val="00E5432A"/>
    <w:rsid w:val="00E600AB"/>
    <w:rsid w:val="00E60677"/>
    <w:rsid w:val="00E74AAE"/>
    <w:rsid w:val="00E81E83"/>
    <w:rsid w:val="00E86AF6"/>
    <w:rsid w:val="00EA127A"/>
    <w:rsid w:val="00EA2146"/>
    <w:rsid w:val="00EB2096"/>
    <w:rsid w:val="00EC5090"/>
    <w:rsid w:val="00ED32EC"/>
    <w:rsid w:val="00EE22A8"/>
    <w:rsid w:val="00EF1F5C"/>
    <w:rsid w:val="00EF486E"/>
    <w:rsid w:val="00F14DBC"/>
    <w:rsid w:val="00F15C5D"/>
    <w:rsid w:val="00F44270"/>
    <w:rsid w:val="00F46383"/>
    <w:rsid w:val="00F5472F"/>
    <w:rsid w:val="00F57042"/>
    <w:rsid w:val="00F61674"/>
    <w:rsid w:val="00F73852"/>
    <w:rsid w:val="00F80F17"/>
    <w:rsid w:val="00FA0960"/>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8</Pages>
  <Words>8887</Words>
  <Characters>5067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13927</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18</cp:revision>
  <cp:lastPrinted>2015-06-25T09:45:00Z</cp:lastPrinted>
  <dcterms:created xsi:type="dcterms:W3CDTF">2015-02-09T12:24:00Z</dcterms:created>
  <dcterms:modified xsi:type="dcterms:W3CDTF">2015-06-25T11:52:00Z</dcterms:modified>
</cp:coreProperties>
</file>