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38F8" w14:textId="2A0AB14A" w:rsidR="00C11B89" w:rsidRDefault="00C11B89" w:rsidP="00C11B89">
      <w:pPr>
        <w:jc w:val="right"/>
        <w:rPr>
          <w:rFonts w:ascii="Avenir Next" w:hAnsi="Avenir Next" w:cs="Times New Roman"/>
          <w:i/>
          <w:iCs/>
          <w:color w:val="4F81BD" w:themeColor="accent1"/>
          <w:sz w:val="20"/>
          <w:szCs w:val="20"/>
        </w:rPr>
      </w:pPr>
      <w:proofErr w:type="spellStart"/>
      <w:r>
        <w:rPr>
          <w:rFonts w:ascii="Avenir Next" w:hAnsi="Avenir Next" w:cs="Times New Roman"/>
          <w:i/>
          <w:iCs/>
          <w:color w:val="4F81BD" w:themeColor="accent1"/>
          <w:sz w:val="20"/>
          <w:szCs w:val="20"/>
          <w:lang w:val="lv-LV"/>
        </w:rPr>
        <w:t>Appendix</w:t>
      </w:r>
      <w:proofErr w:type="spellEnd"/>
      <w:r>
        <w:rPr>
          <w:rFonts w:ascii="Avenir Next" w:hAnsi="Avenir Next" w:cs="Times New Roman"/>
          <w:i/>
          <w:iCs/>
          <w:color w:val="4F81BD" w:themeColor="accent1"/>
          <w:sz w:val="20"/>
          <w:szCs w:val="20"/>
          <w:lang w:val="lv-LV"/>
        </w:rPr>
        <w:t xml:space="preserve"> No.</w:t>
      </w:r>
      <w:bookmarkStart w:id="0" w:name="_GoBack"/>
      <w:bookmarkEnd w:id="0"/>
      <w:r w:rsidRPr="00691EF5">
        <w:rPr>
          <w:rFonts w:ascii="Avenir Next" w:hAnsi="Avenir Next" w:cs="Times New Roman"/>
          <w:i/>
          <w:iCs/>
          <w:color w:val="4F81BD" w:themeColor="accent1"/>
          <w:sz w:val="20"/>
          <w:szCs w:val="20"/>
        </w:rPr>
        <w:t xml:space="preserve"> 1</w:t>
      </w:r>
    </w:p>
    <w:p w14:paraId="4326FE26" w14:textId="2F8E4788" w:rsidR="00D30E58" w:rsidRPr="004D2683" w:rsidRDefault="00D30E58" w:rsidP="004D2683">
      <w:pPr>
        <w:ind w:right="-31"/>
        <w:rPr>
          <w:rFonts w:ascii="Trebuchet MS" w:hAnsi="Trebuchet MS"/>
          <w:lang w:val="en-GB"/>
        </w:rPr>
      </w:pPr>
      <w:r w:rsidRPr="004D2683">
        <w:rPr>
          <w:rFonts w:ascii="Trebuchet MS" w:hAnsi="Trebuchet MS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BDF5B7E" wp14:editId="32C5C777">
            <wp:simplePos x="0" y="0"/>
            <wp:positionH relativeFrom="column">
              <wp:posOffset>3991659</wp:posOffset>
            </wp:positionH>
            <wp:positionV relativeFrom="paragraph">
              <wp:posOffset>95250</wp:posOffset>
            </wp:positionV>
            <wp:extent cx="1765300" cy="647065"/>
            <wp:effectExtent l="0" t="0" r="0" b="635"/>
            <wp:wrapTight wrapText="bothSides">
              <wp:wrapPolygon edited="0">
                <wp:start x="0" y="0"/>
                <wp:lineTo x="0" y="21197"/>
                <wp:lineTo x="21445" y="21197"/>
                <wp:lineTo x="21445" y="0"/>
                <wp:lineTo x="0" y="0"/>
              </wp:wrapPolygon>
            </wp:wrapTight>
            <wp:docPr id="5" name="Picture 5" descr="page1image1293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933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683">
        <w:rPr>
          <w:rFonts w:ascii="Trebuchet MS" w:hAnsi="Trebuchet MS"/>
          <w:lang w:val="en-GB"/>
        </w:rPr>
        <w:fldChar w:fldCharType="begin"/>
      </w:r>
      <w:r w:rsidR="00F50373" w:rsidRPr="004D2683">
        <w:rPr>
          <w:rFonts w:ascii="Trebuchet MS" w:hAnsi="Trebuchet MS"/>
          <w:lang w:val="en-GB"/>
        </w:rPr>
        <w:instrText xml:space="preserve"> INCLUDEPICTURE "C:\\var\\folders\\64\\qyjtg5sj4g15slg4dzx9vrp40000gn\\T\\com.microsoft.Word\\WebArchiveCopyPasteTempFiles\\page1image12931552" \* MERGEFORMAT </w:instrText>
      </w:r>
      <w:r w:rsidRPr="004D2683">
        <w:rPr>
          <w:rFonts w:ascii="Trebuchet MS" w:hAnsi="Trebuchet MS"/>
          <w:lang w:val="en-GB"/>
        </w:rPr>
        <w:fldChar w:fldCharType="end"/>
      </w:r>
      <w:r w:rsidRPr="004D2683">
        <w:rPr>
          <w:rFonts w:ascii="Trebuchet MS" w:hAnsi="Trebuchet MS"/>
          <w:lang w:val="en-GB"/>
        </w:rPr>
        <w:fldChar w:fldCharType="begin"/>
      </w:r>
      <w:r w:rsidR="00F50373" w:rsidRPr="004D2683">
        <w:rPr>
          <w:rFonts w:ascii="Trebuchet MS" w:hAnsi="Trebuchet MS"/>
          <w:lang w:val="en-GB"/>
        </w:rPr>
        <w:instrText xml:space="preserve"> INCLUDEPICTURE "C:\\var\\folders\\64\\qyjtg5sj4g15slg4dzx9vrp40000gn\\T\\com.microsoft.Word\\WebArchiveCopyPasteTempFiles\\page1image12933008" \* MERGEFORMAT </w:instrText>
      </w:r>
      <w:r w:rsidRPr="004D2683">
        <w:rPr>
          <w:rFonts w:ascii="Trebuchet MS" w:hAnsi="Trebuchet MS"/>
          <w:lang w:val="en-GB"/>
        </w:rPr>
        <w:fldChar w:fldCharType="end"/>
      </w:r>
    </w:p>
    <w:p w14:paraId="49F0E101" w14:textId="77777777" w:rsidR="00D30E58" w:rsidRPr="004D2683" w:rsidRDefault="00D30E58" w:rsidP="004D2683">
      <w:pPr>
        <w:ind w:right="-31"/>
        <w:rPr>
          <w:rFonts w:ascii="Trebuchet MS" w:hAnsi="Trebuchet MS"/>
          <w:lang w:val="en-GB"/>
        </w:rPr>
      </w:pPr>
      <w:r w:rsidRPr="004D2683">
        <w:rPr>
          <w:rFonts w:ascii="Trebuchet MS" w:hAnsi="Trebuchet MS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5232DA48" wp14:editId="03ECDB18">
            <wp:simplePos x="0" y="0"/>
            <wp:positionH relativeFrom="column">
              <wp:posOffset>30431</wp:posOffset>
            </wp:positionH>
            <wp:positionV relativeFrom="paragraph">
              <wp:posOffset>60960</wp:posOffset>
            </wp:positionV>
            <wp:extent cx="1673860" cy="358775"/>
            <wp:effectExtent l="0" t="0" r="2540" b="0"/>
            <wp:wrapSquare wrapText="bothSides"/>
            <wp:docPr id="4" name="Picture 4" descr="page1image1293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29315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4BE1A" w14:textId="77777777" w:rsidR="00D30E58" w:rsidRPr="004D2683" w:rsidRDefault="00D30E58" w:rsidP="004D2683">
      <w:pPr>
        <w:ind w:right="-31"/>
        <w:rPr>
          <w:rFonts w:ascii="Trebuchet MS" w:hAnsi="Trebuchet MS"/>
          <w:lang w:val="en-GB"/>
        </w:rPr>
      </w:pPr>
    </w:p>
    <w:p w14:paraId="202DC403" w14:textId="77777777" w:rsidR="00D30E58" w:rsidRPr="004D2683" w:rsidRDefault="00D30E58" w:rsidP="004D2683">
      <w:pPr>
        <w:ind w:right="-31"/>
        <w:rPr>
          <w:rFonts w:ascii="Trebuchet MS" w:hAnsi="Trebuchet MS"/>
          <w:lang w:val="en-GB"/>
        </w:rPr>
      </w:pPr>
    </w:p>
    <w:p w14:paraId="16C57565" w14:textId="13E408BF" w:rsidR="00A41ACE" w:rsidRPr="004D2683" w:rsidRDefault="006F48FD" w:rsidP="006F48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-31"/>
        <w:jc w:val="center"/>
        <w:rPr>
          <w:rFonts w:ascii="Trebuchet MS" w:eastAsia="Trebuchet MS" w:hAnsi="Trebuchet MS" w:cs="Trebuchet MS"/>
          <w:color w:val="000000"/>
          <w:sz w:val="55"/>
          <w:szCs w:val="55"/>
          <w:lang w:val="en-GB"/>
        </w:rPr>
      </w:pPr>
      <w:r>
        <w:rPr>
          <w:rFonts w:ascii="Trebuchet MS" w:eastAsia="Trebuchet MS" w:hAnsi="Trebuchet MS" w:cs="Trebuchet MS"/>
          <w:color w:val="000000"/>
          <w:sz w:val="40"/>
          <w:szCs w:val="40"/>
          <w:lang w:val="en-GB"/>
        </w:rPr>
        <w:t>M</w:t>
      </w:r>
      <w:r w:rsidR="008903E4" w:rsidRPr="006F48FD">
        <w:rPr>
          <w:rFonts w:ascii="Trebuchet MS" w:eastAsia="Trebuchet MS" w:hAnsi="Trebuchet MS" w:cs="Trebuchet MS"/>
          <w:color w:val="000000"/>
          <w:sz w:val="40"/>
          <w:szCs w:val="40"/>
          <w:lang w:val="en-GB"/>
        </w:rPr>
        <w:t>ass-manufacturable gut-on-chip</w:t>
      </w:r>
      <w:r>
        <w:rPr>
          <w:rStyle w:val="FootnoteReference"/>
          <w:rFonts w:ascii="Trebuchet MS" w:eastAsia="Trebuchet MS" w:hAnsi="Trebuchet MS" w:cs="Trebuchet MS"/>
          <w:color w:val="000000"/>
          <w:sz w:val="40"/>
          <w:szCs w:val="40"/>
          <w:lang w:val="en-GB"/>
        </w:rPr>
        <w:footnoteReference w:id="1"/>
      </w:r>
      <w:r>
        <w:rPr>
          <w:rFonts w:ascii="Trebuchet MS" w:eastAsia="Trebuchet MS" w:hAnsi="Trebuchet MS" w:cs="Trebuchet MS"/>
          <w:color w:val="000000"/>
          <w:sz w:val="40"/>
          <w:szCs w:val="40"/>
          <w:lang w:val="en-GB"/>
        </w:rPr>
        <w:t xml:space="preserve"> technology</w:t>
      </w:r>
    </w:p>
    <w:p w14:paraId="3035500D" w14:textId="48A9C5E6" w:rsidR="00A96364" w:rsidRPr="004D2683" w:rsidRDefault="00B43101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57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The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Institute of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Solid State Physics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 University of Latvia (ISSP UL) is developing miniature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human organ replicas,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known as organs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on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a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chip</w:t>
      </w:r>
      <w:r w:rsidR="000607F2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(OOC)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 to help pharmaceutical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companies, contract research organisations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, nutrition &amp; supplement manufacturers </w:t>
      </w:r>
      <w:r w:rsidR="000A568A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as well as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academic institutions </w:t>
      </w:r>
      <w:r w:rsidR="00F3350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to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perform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pre-clinical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tests in human-</w:t>
      </w:r>
      <w:r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relevant tissue models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.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Since around 60% of commercially available drug products are administered </w:t>
      </w:r>
      <w:r w:rsidR="00BE62C0" w:rsidRPr="00EA7529">
        <w:rPr>
          <w:rFonts w:ascii="Trebuchet MS" w:eastAsia="Trebuchet MS" w:hAnsi="Trebuchet MS" w:cs="Trebuchet MS"/>
          <w:i/>
          <w:iCs/>
          <w:color w:val="000000"/>
          <w:sz w:val="20"/>
          <w:szCs w:val="20"/>
          <w:lang w:val="en-GB"/>
        </w:rPr>
        <w:t>via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the oral route</w:t>
      </w:r>
      <w:r w:rsidR="000A568A" w:rsidRPr="004D2683">
        <w:rPr>
          <w:rStyle w:val="FootnoteReference"/>
          <w:rFonts w:ascii="Trebuchet MS" w:eastAsia="Trebuchet MS" w:hAnsi="Trebuchet MS" w:cs="Trebuchet MS"/>
          <w:color w:val="000000"/>
          <w:sz w:val="20"/>
          <w:szCs w:val="20"/>
          <w:lang w:val="en-GB"/>
        </w:rPr>
        <w:footnoteReference w:id="2"/>
      </w:r>
      <w:r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current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work 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is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focused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on a patent</w:t>
      </w:r>
      <w:r w:rsidR="00F3350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-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pending</w:t>
      </w:r>
      <w:r w:rsidR="00344B82">
        <w:rPr>
          <w:rStyle w:val="FootnoteReference"/>
          <w:rFonts w:ascii="Trebuchet MS" w:eastAsia="Trebuchet MS" w:hAnsi="Trebuchet MS" w:cs="Trebuchet MS"/>
          <w:color w:val="000000"/>
          <w:sz w:val="20"/>
          <w:szCs w:val="20"/>
          <w:lang w:val="en-GB"/>
        </w:rPr>
        <w:footnoteReference w:id="3"/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gut</w:t>
      </w:r>
      <w:r w:rsidR="00B553DC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on 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chip model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with a particular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interest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 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microbiota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applications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.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</w:p>
    <w:p w14:paraId="084CCA95" w14:textId="14B2C9E7" w:rsidR="00A41ACE" w:rsidRPr="004D2683" w:rsidRDefault="00A96364" w:rsidP="004D2683">
      <w:pPr>
        <w:rPr>
          <w:rFonts w:ascii="Trebuchet MS" w:hAnsi="Trebuchet MS"/>
          <w:lang w:val="en-GB"/>
        </w:rPr>
      </w:pPr>
      <w:r w:rsidRPr="004D2683">
        <w:rPr>
          <w:rFonts w:ascii="Trebuchet MS" w:eastAsia="Trebuchet MS" w:hAnsi="Trebuchet MS" w:cs="Trebuchet MS"/>
          <w:noProof/>
          <w:color w:val="000000"/>
          <w:sz w:val="20"/>
          <w:szCs w:val="20"/>
          <w:lang w:val="en-GB"/>
        </w:rPr>
        <w:drawing>
          <wp:anchor distT="0" distB="0" distL="114300" distR="114300" simplePos="0" relativeHeight="251663360" behindDoc="1" locked="0" layoutInCell="1" allowOverlap="1" wp14:anchorId="6604CF7A" wp14:editId="0199F026">
            <wp:simplePos x="0" y="0"/>
            <wp:positionH relativeFrom="column">
              <wp:posOffset>-10160</wp:posOffset>
            </wp:positionH>
            <wp:positionV relativeFrom="paragraph">
              <wp:posOffset>102919</wp:posOffset>
            </wp:positionV>
            <wp:extent cx="2187526" cy="1269683"/>
            <wp:effectExtent l="0" t="0" r="0" b="635"/>
            <wp:wrapTight wrapText="bothSides">
              <wp:wrapPolygon edited="0">
                <wp:start x="0" y="0"/>
                <wp:lineTo x="0" y="21395"/>
                <wp:lineTo x="21449" y="21395"/>
                <wp:lineTo x="214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2-03-21 at 12.18.3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26" cy="126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FD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The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core principle was to take a holistic approach in development of </w:t>
      </w:r>
      <w:r w:rsidR="00B43101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the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chip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therefore putting the engineering and design work in </w:t>
      </w:r>
      <w:r w:rsidR="00B43101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the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foreground. </w:t>
      </w:r>
      <w:r w:rsidR="006F48FD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The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B43101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resulting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solution is based around chip design</w:t>
      </w:r>
      <w:r w:rsidR="000607F2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and material combination that is suitable for mass manufacturing and</w:t>
      </w:r>
      <w:r w:rsidR="000607F2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precise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F3350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cell-level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organ </w:t>
      </w:r>
      <w:r w:rsidR="004607DA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function recapitulation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. For development of an easy to use, plug-and play system suitable for higher throughputs</w:t>
      </w:r>
      <w:r w:rsidR="006F48FD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a </w:t>
      </w:r>
      <w:r w:rsidR="004607DA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chip-compatible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instrument</w:t>
      </w:r>
      <w:r w:rsidR="006F48FD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should be used to run the biological experiments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. </w:t>
      </w:r>
    </w:p>
    <w:p w14:paraId="05047107" w14:textId="29F85E56" w:rsidR="00A41ACE" w:rsidRPr="004D2683" w:rsidRDefault="00D30E58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right="-31"/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</w:pPr>
      <w:r w:rsidRPr="004D2683">
        <w:rPr>
          <w:rFonts w:ascii="Trebuchet MS" w:hAnsi="Trebuchet MS"/>
          <w:b/>
          <w:bCs/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30E75F71" wp14:editId="59491162">
            <wp:simplePos x="0" y="0"/>
            <wp:positionH relativeFrom="column">
              <wp:posOffset>2773680</wp:posOffset>
            </wp:positionH>
            <wp:positionV relativeFrom="paragraph">
              <wp:posOffset>118794</wp:posOffset>
            </wp:positionV>
            <wp:extent cx="2996760" cy="1979323"/>
            <wp:effectExtent l="0" t="0" r="63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60" cy="1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FD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>Gut-on-chip</w:t>
      </w:r>
      <w:r w:rsidR="004607DA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 technology f</w:t>
      </w:r>
      <w:r w:rsidR="008903E4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eatures: </w:t>
      </w:r>
    </w:p>
    <w:p w14:paraId="1670C42E" w14:textId="1277B079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Use of small</w:t>
      </w:r>
      <w:r w:rsidR="00F3350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hydrophobic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molecule non-absorbing materials </w:t>
      </w:r>
    </w:p>
    <w:p w14:paraId="7F22D9BF" w14:textId="77777777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Materials suitable for volume manufacturing </w:t>
      </w:r>
    </w:p>
    <w:p w14:paraId="770867B3" w14:textId="77777777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Less gas-permeable materials </w:t>
      </w:r>
    </w:p>
    <w:p w14:paraId="187F2CD9" w14:textId="77777777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Integrated oxygen and TEER sensors in the chip </w:t>
      </w:r>
    </w:p>
    <w:p w14:paraId="61E84D2F" w14:textId="697894F2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High transparency across 300-800 nm wavelengths and thin bottom lid </w:t>
      </w:r>
    </w:p>
    <w:p w14:paraId="51F6E8DF" w14:textId="77777777" w:rsidR="004D2683" w:rsidRPr="004D2683" w:rsidRDefault="004D2683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</w:p>
    <w:p w14:paraId="27E5E170" w14:textId="6A9A22C4" w:rsidR="00A41ACE" w:rsidRPr="004D2683" w:rsidRDefault="00B553DC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right="-31"/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</w:pPr>
      <w:r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Resulting in </w:t>
      </w:r>
      <w:r w:rsidR="003A129F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the </w:t>
      </w:r>
      <w:r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>following c</w:t>
      </w:r>
      <w:r w:rsidR="008903E4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ustomer </w:t>
      </w:r>
      <w:r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>benefits</w:t>
      </w:r>
      <w:r w:rsidR="008903E4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: </w:t>
      </w:r>
    </w:p>
    <w:p w14:paraId="3906459A" w14:textId="694CBDEF" w:rsidR="001E1C40" w:rsidRPr="004D2683" w:rsidRDefault="00ED70F1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noProof/>
          <w:color w:val="00000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4A2787" wp14:editId="3794B814">
                <wp:simplePos x="0" y="0"/>
                <wp:positionH relativeFrom="column">
                  <wp:posOffset>2978150</wp:posOffset>
                </wp:positionH>
                <wp:positionV relativeFrom="paragraph">
                  <wp:posOffset>147271</wp:posOffset>
                </wp:positionV>
                <wp:extent cx="2799080" cy="158940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63" y="21402"/>
                    <wp:lineTo x="2146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158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E3672" w14:textId="77777777" w:rsidR="00ED70F1" w:rsidRPr="004D2683" w:rsidRDefault="00ED70F1" w:rsidP="004D268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right="-31" w:firstLine="377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Potential applications: </w:t>
                            </w:r>
                          </w:p>
                          <w:p w14:paraId="01CB5882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Drug candidate discovery </w:t>
                            </w:r>
                          </w:p>
                          <w:p w14:paraId="710F2354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Drug and treatment testing </w:t>
                            </w:r>
                          </w:p>
                          <w:p w14:paraId="6CCB3EE2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Early-stage pharmacology studies </w:t>
                            </w:r>
                          </w:p>
                          <w:p w14:paraId="4C384E20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Disease modelling </w:t>
                            </w:r>
                          </w:p>
                          <w:p w14:paraId="2719FC5D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PK/PD studies </w:t>
                            </w:r>
                          </w:p>
                          <w:p w14:paraId="2AF3545A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Preclinical toxicology testing </w:t>
                            </w:r>
                          </w:p>
                          <w:p w14:paraId="587E246E" w14:textId="503C726E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Personalised patient model system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27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5pt;margin-top:11.6pt;width:220.4pt;height:12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" fillcolor="white [3201]" stroked="f" strokeweight=".5pt">
                <v:textbox>
                  <w:txbxContent>
                    <w:p w14:paraId="038E3672" w14:textId="77777777" w:rsidR="00ED70F1" w:rsidRPr="004D2683" w:rsidRDefault="00ED70F1" w:rsidP="004D26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right="-31" w:firstLine="377"/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Potential applications: </w:t>
                      </w:r>
                    </w:p>
                    <w:p w14:paraId="01CB5882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Drug candidate discovery </w:t>
                      </w:r>
                    </w:p>
                    <w:p w14:paraId="710F2354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Drug and treatment testing </w:t>
                      </w:r>
                    </w:p>
                    <w:p w14:paraId="6CCB3EE2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Early-stage pharmacology studies </w:t>
                      </w:r>
                    </w:p>
                    <w:p w14:paraId="4C384E20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Disease modelling </w:t>
                      </w:r>
                    </w:p>
                    <w:p w14:paraId="2719FC5D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PK/PD studies </w:t>
                      </w:r>
                    </w:p>
                    <w:p w14:paraId="2AF3545A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Preclinical toxicology testing </w:t>
                      </w:r>
                    </w:p>
                    <w:p w14:paraId="587E246E" w14:textId="503C726E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>Personalised patient model system development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03E4"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More repeatable and accurate biological </w:t>
      </w:r>
      <w:r w:rsidR="008903E4" w:rsidRPr="004D2683">
        <w:rPr>
          <w:rFonts w:ascii="Trebuchet MS" w:eastAsia="Trebuchet MS" w:hAnsi="Trebuchet MS" w:cs="Trebuchet MS"/>
          <w:i/>
          <w:color w:val="000000"/>
          <w:sz w:val="20"/>
          <w:szCs w:val="20"/>
          <w:lang w:val="en-GB"/>
        </w:rPr>
        <w:t xml:space="preserve">in vitro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model 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for precise decision making</w:t>
      </w:r>
    </w:p>
    <w:p w14:paraId="40A8FC76" w14:textId="19122CC8" w:rsidR="007E1A3D" w:rsidRPr="004D2683" w:rsidRDefault="001E1C40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Easy to integrate, use and operate for scientists &amp; researchers</w:t>
      </w:r>
    </w:p>
    <w:p w14:paraId="2DEA1AB4" w14:textId="77777777" w:rsidR="00D30E58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Truly anaerobic conditions in channels with highly controllable gas conditions </w:t>
      </w:r>
    </w:p>
    <w:p w14:paraId="090F2B15" w14:textId="40EBF657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Devices suitable for high resolution microscopy </w:t>
      </w:r>
    </w:p>
    <w:p w14:paraId="30F51B5C" w14:textId="00B1A5A5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Significantly reduced biological variation</w:t>
      </w:r>
    </w:p>
    <w:p w14:paraId="462756FD" w14:textId="2F90F764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="00B553DC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Increased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experimental throughput </w:t>
      </w:r>
    </w:p>
    <w:p w14:paraId="6E40F515" w14:textId="6058F85A" w:rsidR="00A96364" w:rsidRPr="004D2683" w:rsidRDefault="00ED70F1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13"/>
          <w:szCs w:val="13"/>
          <w:lang w:val="en-GB"/>
        </w:rPr>
      </w:pPr>
      <w:r w:rsidRPr="004D2683">
        <w:rPr>
          <w:rFonts w:ascii="Trebuchet MS" w:eastAsia="Noto Sans Symbols" w:hAnsi="Trebuchet MS" w:cs="Noto Sans Symbols"/>
          <w:noProof/>
          <w:color w:val="000000"/>
          <w:sz w:val="20"/>
          <w:szCs w:val="2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42BB65" wp14:editId="6A9A5AEC">
                <wp:simplePos x="0" y="0"/>
                <wp:positionH relativeFrom="column">
                  <wp:posOffset>-81866</wp:posOffset>
                </wp:positionH>
                <wp:positionV relativeFrom="paragraph">
                  <wp:posOffset>272415</wp:posOffset>
                </wp:positionV>
                <wp:extent cx="5661660" cy="1236980"/>
                <wp:effectExtent l="0" t="0" r="2540" b="0"/>
                <wp:wrapTight wrapText="bothSides">
                  <wp:wrapPolygon edited="0">
                    <wp:start x="0" y="0"/>
                    <wp:lineTo x="0" y="21290"/>
                    <wp:lineTo x="21561" y="21290"/>
                    <wp:lineTo x="2156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123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15C77" w14:textId="1DAF4AAC" w:rsidR="00ED70F1" w:rsidRPr="004D2683" w:rsidRDefault="00EA7529" w:rsidP="00ED70F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 w:line="240" w:lineRule="auto"/>
                              <w:ind w:right="-31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="00ED70F1" w:rsidRPr="004D2683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iological testing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status</w:t>
                            </w:r>
                            <w:r w:rsidR="00ED70F1" w:rsidRPr="004D2683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0D7525B7" w14:textId="06482D60" w:rsidR="00ED70F1" w:rsidRPr="00C960D9" w:rsidRDefault="00ED70F1" w:rsidP="004D2683">
                            <w:pPr>
                              <w:widowControl w:val="0"/>
                              <w:spacing w:before="120" w:after="20" w:line="216" w:lineRule="auto"/>
                              <w:ind w:right="-31"/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• Initial model demonstrated with stable cell lines of C</w:t>
                            </w:r>
                            <w:r w:rsidR="005C393B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="005C393B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 and HUVEC, iPSC model in development</w:t>
                            </w:r>
                          </w:p>
                          <w:p w14:paraId="62348F4E" w14:textId="19B8B8DA" w:rsidR="00ED70F1" w:rsidRPr="00C960D9" w:rsidRDefault="00ED70F1" w:rsidP="004D2683">
                            <w:pPr>
                              <w:widowControl w:val="0"/>
                              <w:spacing w:after="20" w:line="216" w:lineRule="auto"/>
                              <w:ind w:right="-31"/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="009B499A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model performs from 20 – 30% better than current state of the art</w:t>
                            </w:r>
                            <w:r w:rsidR="000607F2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OOC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in terms of saving time and barrier replication accuracy</w:t>
                            </w:r>
                          </w:p>
                          <w:p w14:paraId="594D2687" w14:textId="6FE21519" w:rsidR="00ED70F1" w:rsidRPr="00C960D9" w:rsidRDefault="00ED70F1" w:rsidP="004D2683">
                            <w:pPr>
                              <w:widowControl w:val="0"/>
                              <w:spacing w:after="20" w:line="216" w:lineRule="auto"/>
                              <w:ind w:right="-31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="009B499A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It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ha</w:t>
                            </w:r>
                            <w:r w:rsidR="009B499A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s been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demonstrated for the first time that a patient-derived diverse anaerobic microbiota can be cultured in a gut on chip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2B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45pt;margin-top:21.45pt;width:445.8pt;height:97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" fillcolor="white [3201]" stroked="f" strokeweight=".5pt">
                <v:textbox>
                  <w:txbxContent>
                    <w:p w14:paraId="73F15C77" w14:textId="1DAF4AAC" w:rsidR="00ED70F1" w:rsidRPr="004D2683" w:rsidRDefault="00EA7529" w:rsidP="00ED70F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 w:line="240" w:lineRule="auto"/>
                        <w:ind w:right="-31"/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B</w:t>
                      </w:r>
                      <w:r w:rsidR="00ED70F1" w:rsidRPr="004D2683"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iological testing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status</w:t>
                      </w:r>
                      <w:r w:rsidR="00ED70F1" w:rsidRPr="004D2683"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0D7525B7" w14:textId="06482D60" w:rsidR="00ED70F1" w:rsidRPr="00C960D9" w:rsidRDefault="00ED70F1" w:rsidP="004D2683">
                      <w:pPr>
                        <w:widowControl w:val="0"/>
                        <w:spacing w:before="120" w:after="20" w:line="216" w:lineRule="auto"/>
                        <w:ind w:right="-31"/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• Initial model demonstrated with stable cell lines of C</w:t>
                      </w:r>
                      <w:r w:rsidR="005C393B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</w:t>
                      </w:r>
                      <w:r w:rsidR="005C393B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 and HUVEC, iPSC model in development</w:t>
                      </w:r>
                    </w:p>
                    <w:p w14:paraId="62348F4E" w14:textId="19B8B8DA" w:rsidR="00ED70F1" w:rsidRPr="00C960D9" w:rsidRDefault="00ED70F1" w:rsidP="004D2683">
                      <w:pPr>
                        <w:widowControl w:val="0"/>
                        <w:spacing w:after="20" w:line="216" w:lineRule="auto"/>
                        <w:ind w:right="-31"/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="009B499A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model performs from 20 – 30% better than current state of the art</w:t>
                      </w:r>
                      <w:r w:rsidR="000607F2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OOC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in terms of saving time and barrier replication accuracy</w:t>
                      </w:r>
                    </w:p>
                    <w:p w14:paraId="594D2687" w14:textId="6FE21519" w:rsidR="00ED70F1" w:rsidRPr="00C960D9" w:rsidRDefault="00ED70F1" w:rsidP="004D2683">
                      <w:pPr>
                        <w:widowControl w:val="0"/>
                        <w:spacing w:after="20" w:line="216" w:lineRule="auto"/>
                        <w:ind w:right="-31"/>
                        <w:rPr>
                          <w:rFonts w:ascii="Calibri" w:eastAsia="Calibri" w:hAnsi="Calibri" w:cs="Calibri"/>
                          <w:color w:val="000000" w:themeColor="text1"/>
                          <w:sz w:val="19"/>
                          <w:szCs w:val="19"/>
                          <w:lang w:val="en-GB"/>
                        </w:rPr>
                      </w:pP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="009B499A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It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ha</w:t>
                      </w:r>
                      <w:r w:rsidR="009B499A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s been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demonstrated for the first time that a patient-derived diverse anaerobic microbiota can be cultured in a gut on chip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96364" w:rsidRPr="004D2683">
      <w:footerReference w:type="default" r:id="rId12"/>
      <w:pgSz w:w="11900" w:h="16840"/>
      <w:pgMar w:top="191" w:right="1200" w:bottom="764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8BFA" w14:textId="77777777" w:rsidR="006D6345" w:rsidRDefault="006D6345" w:rsidP="00A96364">
      <w:pPr>
        <w:spacing w:line="240" w:lineRule="auto"/>
      </w:pPr>
      <w:r>
        <w:separator/>
      </w:r>
    </w:p>
  </w:endnote>
  <w:endnote w:type="continuationSeparator" w:id="0">
    <w:p w14:paraId="0F0101F9" w14:textId="77777777" w:rsidR="006D6345" w:rsidRDefault="006D6345" w:rsidP="00A9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A5ED" w14:textId="2541E36A" w:rsidR="00ED70F1" w:rsidRPr="00C960D9" w:rsidRDefault="00ED70F1" w:rsidP="00ED70F1">
    <w:pPr>
      <w:widowControl w:val="0"/>
      <w:pBdr>
        <w:top w:val="nil"/>
        <w:left w:val="nil"/>
        <w:bottom w:val="nil"/>
        <w:right w:val="nil"/>
        <w:between w:val="nil"/>
      </w:pBdr>
      <w:spacing w:before="262" w:line="248" w:lineRule="auto"/>
      <w:ind w:left="765" w:right="-31"/>
      <w:jc w:val="center"/>
      <w:rPr>
        <w:rFonts w:ascii="Trebuchet MS" w:eastAsia="Calibri" w:hAnsi="Trebuchet MS" w:cs="Calibri"/>
        <w:color w:val="000000"/>
        <w:sz w:val="18"/>
        <w:szCs w:val="18"/>
        <w:lang w:val="en-GB"/>
      </w:rPr>
    </w:pPr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 xml:space="preserve">Institute of Solid State Physics, University of Latvia | </w:t>
    </w:r>
    <w:proofErr w:type="spellStart"/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>Kengaraga</w:t>
    </w:r>
    <w:proofErr w:type="spellEnd"/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 xml:space="preserve"> street 8, Riga, Latvia Contacts: </w:t>
    </w:r>
    <w:r w:rsidRPr="00C960D9">
      <w:rPr>
        <w:rFonts w:ascii="Trebuchet MS" w:eastAsia="Calibri" w:hAnsi="Trebuchet MS" w:cs="Calibri"/>
        <w:color w:val="000000"/>
        <w:sz w:val="18"/>
        <w:szCs w:val="18"/>
        <w:u w:val="single"/>
        <w:lang w:val="en-GB"/>
      </w:rPr>
      <w:t xml:space="preserve">girts.ozolins@cfi.lu.lv </w:t>
    </w:r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 xml:space="preserve">| +371 26522982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70D95" w14:textId="77777777" w:rsidR="006D6345" w:rsidRDefault="006D6345" w:rsidP="00A96364">
      <w:pPr>
        <w:spacing w:line="240" w:lineRule="auto"/>
      </w:pPr>
      <w:r>
        <w:separator/>
      </w:r>
    </w:p>
  </w:footnote>
  <w:footnote w:type="continuationSeparator" w:id="0">
    <w:p w14:paraId="72B0A9D6" w14:textId="77777777" w:rsidR="006D6345" w:rsidRDefault="006D6345" w:rsidP="00A96364">
      <w:pPr>
        <w:spacing w:line="240" w:lineRule="auto"/>
      </w:pPr>
      <w:r>
        <w:continuationSeparator/>
      </w:r>
    </w:p>
  </w:footnote>
  <w:footnote w:id="1">
    <w:p w14:paraId="166F2482" w14:textId="3D7EDF45" w:rsidR="006F48FD" w:rsidRPr="006F48FD" w:rsidRDefault="006F48FD" w:rsidP="006F48FD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6F48FD">
        <w:rPr>
          <w:rFonts w:ascii="Trebuchet MS" w:hAnsi="Trebuchet MS"/>
          <w:sz w:val="16"/>
          <w:szCs w:val="16"/>
          <w:lang w:val="lv-LV"/>
        </w:rPr>
        <w:t xml:space="preserve">Project No. </w:t>
      </w:r>
      <w:r w:rsidRPr="006F48FD">
        <w:rPr>
          <w:rFonts w:ascii="Trebuchet MS" w:eastAsia="Times New Roman" w:hAnsi="Trebuchet MS" w:cs="Times New Roman"/>
          <w:color w:val="1B1B1B"/>
          <w:sz w:val="16"/>
          <w:szCs w:val="16"/>
          <w:shd w:val="clear" w:color="auto" w:fill="FFFFFF"/>
        </w:rPr>
        <w:t>KC-PI-2020/24</w:t>
      </w:r>
      <w:r w:rsidRPr="006F48FD">
        <w:rPr>
          <w:rFonts w:ascii="Trebuchet MS" w:eastAsia="Times New Roman" w:hAnsi="Trebuchet MS" w:cs="Times New Roman"/>
          <w:color w:val="1B1B1B"/>
          <w:sz w:val="16"/>
          <w:szCs w:val="16"/>
          <w:shd w:val="clear" w:color="auto" w:fill="FFFFFF"/>
          <w:lang w:val="lv-LV"/>
        </w:rPr>
        <w:t xml:space="preserve"> </w:t>
      </w:r>
      <w:hyperlink r:id="rId1" w:history="1">
        <w:r w:rsidRPr="006F48FD">
          <w:rPr>
            <w:rStyle w:val="Hyperlink"/>
            <w:rFonts w:ascii="Trebuchet MS" w:eastAsia="Times New Roman" w:hAnsi="Trebuchet MS" w:cs="Times New Roman"/>
            <w:sz w:val="16"/>
            <w:szCs w:val="16"/>
            <w:shd w:val="clear" w:color="auto" w:fill="FFFFFF"/>
            <w:lang w:val="lv-LV"/>
          </w:rPr>
          <w:t>https://www.cfi.lu.lv/en/research/projects/european-regional-development-fund/mass-manufacturable-gut-on-a-chip-device/</w:t>
        </w:r>
      </w:hyperlink>
      <w:r>
        <w:rPr>
          <w:rFonts w:ascii="PT Sans" w:eastAsia="Times New Roman" w:hAnsi="PT Sans" w:cs="Times New Roman"/>
          <w:color w:val="1B1B1B"/>
          <w:sz w:val="27"/>
          <w:szCs w:val="27"/>
          <w:shd w:val="clear" w:color="auto" w:fill="FFFFFF"/>
          <w:lang w:val="lv-LV"/>
        </w:rPr>
        <w:t xml:space="preserve">  </w:t>
      </w:r>
    </w:p>
  </w:footnote>
  <w:footnote w:id="2">
    <w:p w14:paraId="5E35ED5F" w14:textId="5BF534C8" w:rsidR="000A568A" w:rsidRPr="000A568A" w:rsidRDefault="000A568A" w:rsidP="000A568A">
      <w:pPr>
        <w:rPr>
          <w:rFonts w:ascii="Trebuchet MS" w:eastAsia="Times New Roman" w:hAnsi="Trebuchet MS" w:cs="Times New Roman"/>
          <w:sz w:val="16"/>
          <w:szCs w:val="16"/>
        </w:rPr>
      </w:pPr>
      <w:r w:rsidRPr="000A568A">
        <w:rPr>
          <w:rStyle w:val="FootnoteReference"/>
          <w:rFonts w:ascii="Trebuchet MS" w:hAnsi="Trebuchet MS"/>
          <w:sz w:val="16"/>
          <w:szCs w:val="16"/>
        </w:rPr>
        <w:footnoteRef/>
      </w:r>
      <w:r w:rsidRPr="000A568A">
        <w:rPr>
          <w:rFonts w:ascii="Trebuchet MS" w:hAnsi="Trebuchet MS"/>
          <w:sz w:val="16"/>
          <w:szCs w:val="16"/>
        </w:rPr>
        <w:t xml:space="preserve"> </w:t>
      </w:r>
      <w:r w:rsidRPr="000A568A">
        <w:rPr>
          <w:rFonts w:ascii="Trebuchet MS" w:eastAsia="Times New Roman" w:hAnsi="Trebuchet MS" w:cs="Times New Roman"/>
          <w:color w:val="020202"/>
          <w:sz w:val="16"/>
          <w:szCs w:val="16"/>
          <w:shd w:val="clear" w:color="auto" w:fill="FFFFFF"/>
        </w:rPr>
        <w:t>Front. Pharmacol., 19 February 2021 | </w:t>
      </w:r>
      <w:hyperlink r:id="rId2" w:history="1">
        <w:r w:rsidRPr="000A568A">
          <w:rPr>
            <w:rFonts w:ascii="Trebuchet MS" w:eastAsia="Times New Roman" w:hAnsi="Trebuchet MS" w:cs="Times New Roman"/>
            <w:color w:val="D54449"/>
            <w:sz w:val="16"/>
            <w:szCs w:val="16"/>
            <w:u w:val="single"/>
            <w:shd w:val="clear" w:color="auto" w:fill="FFFFFF"/>
          </w:rPr>
          <w:t>https://doi.org/10.3389/fphar.2021.618411</w:t>
        </w:r>
      </w:hyperlink>
    </w:p>
  </w:footnote>
  <w:footnote w:id="3">
    <w:p w14:paraId="3419D5CF" w14:textId="3EB7ED82" w:rsidR="00344B82" w:rsidRPr="00344B82" w:rsidRDefault="00344B82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F66E09">
        <w:rPr>
          <w:rFonts w:ascii="Trebuchet MS" w:eastAsia="Times New Roman" w:hAnsi="Trebuchet MS" w:cs="Times New Roman"/>
          <w:color w:val="000000" w:themeColor="text1"/>
          <w:sz w:val="16"/>
          <w:szCs w:val="16"/>
          <w:shd w:val="clear" w:color="auto" w:fill="FFFFFF"/>
        </w:rPr>
        <w:t>EP application No.: 21215336.5. “</w:t>
      </w:r>
      <w:r w:rsidRPr="00F66E09">
        <w:rPr>
          <w:rStyle w:val="fontstyle01"/>
          <w:rFonts w:ascii="Trebuchet MS" w:hAnsi="Trebuchet MS"/>
          <w:color w:val="000000" w:themeColor="text1"/>
          <w:sz w:val="16"/>
          <w:szCs w:val="16"/>
        </w:rPr>
        <w:t>A MICROFLUIDIC DEVICE FOR SIMULATING ORGAN FUNCTIONS</w:t>
      </w:r>
      <w:r w:rsidRPr="00F66E09">
        <w:rPr>
          <w:rFonts w:ascii="Trebuchet MS" w:eastAsia="Times New Roman" w:hAnsi="Trebuchet MS" w:cs="Times New Roman"/>
          <w:color w:val="000000" w:themeColor="text1"/>
          <w:sz w:val="16"/>
          <w:szCs w:val="16"/>
          <w:shd w:val="clear" w:color="auto" w:fill="FFFFFF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D06C0"/>
    <w:multiLevelType w:val="multilevel"/>
    <w:tmpl w:val="47C8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E"/>
    <w:rsid w:val="000607F2"/>
    <w:rsid w:val="000A568A"/>
    <w:rsid w:val="000D59CF"/>
    <w:rsid w:val="001C1A92"/>
    <w:rsid w:val="001E1C40"/>
    <w:rsid w:val="002264D1"/>
    <w:rsid w:val="002D66C7"/>
    <w:rsid w:val="00344B82"/>
    <w:rsid w:val="00394DE1"/>
    <w:rsid w:val="003A129F"/>
    <w:rsid w:val="00432490"/>
    <w:rsid w:val="004607DA"/>
    <w:rsid w:val="004D2683"/>
    <w:rsid w:val="005C393B"/>
    <w:rsid w:val="006D6345"/>
    <w:rsid w:val="006F48FD"/>
    <w:rsid w:val="00743F8C"/>
    <w:rsid w:val="00770EEC"/>
    <w:rsid w:val="007E1A3D"/>
    <w:rsid w:val="008903E4"/>
    <w:rsid w:val="008975D4"/>
    <w:rsid w:val="008D04D7"/>
    <w:rsid w:val="009B499A"/>
    <w:rsid w:val="009B61C4"/>
    <w:rsid w:val="00A41ACE"/>
    <w:rsid w:val="00A96364"/>
    <w:rsid w:val="00B04DCC"/>
    <w:rsid w:val="00B058CE"/>
    <w:rsid w:val="00B43101"/>
    <w:rsid w:val="00B553DC"/>
    <w:rsid w:val="00B83A3B"/>
    <w:rsid w:val="00BE62C0"/>
    <w:rsid w:val="00C11B89"/>
    <w:rsid w:val="00C960D9"/>
    <w:rsid w:val="00D04CD2"/>
    <w:rsid w:val="00D30E58"/>
    <w:rsid w:val="00DB209F"/>
    <w:rsid w:val="00EA7529"/>
    <w:rsid w:val="00ED70F1"/>
    <w:rsid w:val="00F33503"/>
    <w:rsid w:val="00F50373"/>
    <w:rsid w:val="00F90A12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8897"/>
  <w15:docId w15:val="{0E32DE6F-88F7-5247-A6BF-4E1569EB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96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3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64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3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3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D59C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0A56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0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F1"/>
  </w:style>
  <w:style w:type="paragraph" w:styleId="Footer">
    <w:name w:val="footer"/>
    <w:basedOn w:val="Normal"/>
    <w:link w:val="FooterChar"/>
    <w:uiPriority w:val="99"/>
    <w:unhideWhenUsed/>
    <w:rsid w:val="00ED70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F1"/>
  </w:style>
  <w:style w:type="character" w:styleId="UnresolvedMention">
    <w:name w:val="Unresolved Mention"/>
    <w:basedOn w:val="DefaultParagraphFont"/>
    <w:uiPriority w:val="99"/>
    <w:semiHidden/>
    <w:unhideWhenUsed/>
    <w:rsid w:val="006F48FD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44B8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3389/fphar.2021.618411" TargetMode="External"/><Relationship Id="rId1" Type="http://schemas.openxmlformats.org/officeDocument/2006/relationships/hyperlink" Target="https://www.cfi.lu.lv/en/research/projects/european-regional-development-fund/mass-manufacturable-gut-on-a-chip-de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F665E2-7C6A-D442-BC79-7922A727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Roper</dc:creator>
  <cp:lastModifiedBy>Girts Ozolins</cp:lastModifiedBy>
  <cp:revision>6</cp:revision>
  <dcterms:created xsi:type="dcterms:W3CDTF">2022-05-24T12:55:00Z</dcterms:created>
  <dcterms:modified xsi:type="dcterms:W3CDTF">2022-06-06T15:37:00Z</dcterms:modified>
</cp:coreProperties>
</file>