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C8C3" w14:textId="77777777" w:rsidR="00400EB2" w:rsidRDefault="00FE32DC">
      <w:pPr>
        <w:spacing w:line="240" w:lineRule="auto"/>
        <w:jc w:val="right"/>
        <w:rPr>
          <w:rFonts w:ascii="Avenir Next" w:hAnsi="Avenir Next" w:cs="Times New Roman"/>
          <w:i/>
          <w:iCs/>
          <w:color w:val="4F81BD" w:themeColor="accent1"/>
          <w:sz w:val="20"/>
          <w:szCs w:val="20"/>
        </w:rPr>
      </w:pPr>
      <w:r>
        <w:rPr>
          <w:rFonts w:ascii="Avenir Next" w:hAnsi="Avenir Next"/>
          <w:i/>
          <w:color w:val="4F81BD" w:themeColor="accent1"/>
          <w:sz w:val="20"/>
        </w:rPr>
        <w:t>Appendix No. 1</w:t>
      </w:r>
    </w:p>
    <w:p w14:paraId="0466AD6C" w14:textId="77777777" w:rsidR="00400EB2" w:rsidRDefault="00FE32DC">
      <w:pPr>
        <w:spacing w:line="240" w:lineRule="auto"/>
        <w:ind w:right="-31"/>
        <w:rPr>
          <w:rFonts w:ascii="Trebuchet MS" w:hAnsi="Trebuchet MS"/>
        </w:rPr>
      </w:pPr>
      <w:r>
        <w:rPr>
          <w:rFonts w:ascii="Trebuchet MS" w:hAnsi="Trebuchet MS"/>
        </w:rPr>
        <w:fldChar w:fldCharType="begin"/>
      </w:r>
      <w:r>
        <w:rPr>
          <w:rFonts w:ascii="Trebuchet MS" w:hAnsi="Trebuchet MS"/>
        </w:rPr>
        <w:instrText xml:space="preserve"> INCLUDEPICTURE "C:\\var\\folders\\64\\qyjtg5sj4g15slg4dzx9vrp40000gn\\T\\com.microsoft.Word\\WebArchiveCopyPasteTempFiles\\page1image12931552" \* MERGEFORMAT </w:instrText>
      </w:r>
      <w:r>
        <w:rPr>
          <w:rFonts w:ascii="Trebuchet MS" w:hAnsi="Trebuchet MS"/>
        </w:rPr>
        <w:fldChar w:fldCharType="end"/>
      </w:r>
    </w:p>
    <w:p w14:paraId="7217ADC5" w14:textId="77777777" w:rsidR="00400EB2" w:rsidRDefault="00400EB2">
      <w:pPr>
        <w:spacing w:line="240" w:lineRule="auto"/>
        <w:ind w:right="-31"/>
        <w:rPr>
          <w:rFonts w:ascii="Trebuchet MS" w:hAnsi="Trebuchet MS"/>
        </w:rPr>
      </w:pPr>
    </w:p>
    <w:p w14:paraId="11725ED9" w14:textId="77777777" w:rsidR="00400EB2" w:rsidRDefault="00400EB2">
      <w:pPr>
        <w:spacing w:line="240" w:lineRule="auto"/>
        <w:ind w:right="-31"/>
        <w:rPr>
          <w:rFonts w:ascii="Trebuchet MS" w:hAnsi="Trebuchet MS"/>
        </w:rPr>
      </w:pPr>
    </w:p>
    <w:p w14:paraId="6BAD5D1B" w14:textId="77777777" w:rsidR="00400EB2" w:rsidRDefault="00FE32DC">
      <w:pPr>
        <w:spacing w:line="240" w:lineRule="auto"/>
        <w:jc w:val="center"/>
        <w:rPr>
          <w:rFonts w:ascii="Times New Roman" w:hAnsi="Times New Roman" w:cs="Times New Roman"/>
          <w:sz w:val="28"/>
          <w:szCs w:val="28"/>
        </w:rPr>
      </w:pPr>
      <w:r>
        <w:rPr>
          <w:rFonts w:ascii="Times New Roman" w:hAnsi="Times New Roman"/>
          <w:sz w:val="28"/>
        </w:rPr>
        <w:t xml:space="preserve">Physics Tutorial/Learning Kit on Holography </w:t>
      </w:r>
    </w:p>
    <w:p w14:paraId="74D9D070" w14:textId="77777777" w:rsidR="00400EB2" w:rsidRDefault="00400EB2">
      <w:pPr>
        <w:spacing w:line="240" w:lineRule="auto"/>
        <w:rPr>
          <w:rFonts w:ascii="Times New Roman" w:hAnsi="Times New Roman" w:cs="Times New Roman"/>
          <w:sz w:val="28"/>
          <w:szCs w:val="28"/>
        </w:rPr>
      </w:pPr>
    </w:p>
    <w:p w14:paraId="631E4DCC" w14:textId="77777777" w:rsidR="00400EB2" w:rsidRDefault="00FE32DC">
      <w:pPr>
        <w:spacing w:after="20" w:line="264" w:lineRule="auto"/>
        <w:jc w:val="both"/>
        <w:rPr>
          <w:rFonts w:ascii="Times New Roman" w:hAnsi="Times New Roman" w:cs="Times New Roman"/>
          <w:sz w:val="23"/>
          <w:szCs w:val="23"/>
        </w:rPr>
      </w:pPr>
      <w:r>
        <w:rPr>
          <w:rFonts w:ascii="Times New Roman" w:hAnsi="Times New Roman"/>
          <w:sz w:val="23"/>
        </w:rPr>
        <w:t xml:space="preserve">     Holography is a method of obtaining an im</w:t>
      </w:r>
      <w:r>
        <w:rPr>
          <w:rFonts w:ascii="Times New Roman" w:hAnsi="Times New Roman"/>
          <w:sz w:val="23"/>
        </w:rPr>
        <w:t>age when amplitude and phase of light wave oscillations are registered within the photosensitive material. This gives the ability to register and read a spatial object. In the offered school kits, students shall have the opportunity to study the diffractio</w:t>
      </w:r>
      <w:r>
        <w:rPr>
          <w:rFonts w:ascii="Times New Roman" w:hAnsi="Times New Roman"/>
          <w:sz w:val="23"/>
        </w:rPr>
        <w:t>n and interference properties of light in depth, as well as gain an understanding of recording and displaying holograms.</w:t>
      </w:r>
    </w:p>
    <w:p w14:paraId="1C9B87B8" w14:textId="77777777" w:rsidR="00400EB2" w:rsidRDefault="00FE32DC">
      <w:pPr>
        <w:spacing w:after="20" w:line="264" w:lineRule="auto"/>
        <w:jc w:val="both"/>
        <w:rPr>
          <w:rFonts w:ascii="Times New Roman" w:hAnsi="Times New Roman" w:cs="Times New Roman"/>
          <w:sz w:val="23"/>
          <w:szCs w:val="23"/>
        </w:rPr>
      </w:pPr>
      <w:r>
        <w:rPr>
          <w:rFonts w:ascii="Times New Roman" w:hAnsi="Times New Roman"/>
          <w:sz w:val="23"/>
        </w:rPr>
        <w:t xml:space="preserve">     </w:t>
      </w:r>
      <w:r>
        <w:rPr>
          <w:rFonts w:ascii="Times New Roman" w:hAnsi="Times New Roman"/>
          <w:b/>
          <w:sz w:val="23"/>
        </w:rPr>
        <w:t>The first prototype</w:t>
      </w:r>
      <w:r>
        <w:rPr>
          <w:rFonts w:ascii="Times New Roman" w:hAnsi="Times New Roman"/>
          <w:sz w:val="23"/>
        </w:rPr>
        <w:t xml:space="preserve"> allows obtaining a diffraction pattern on the screen using a pointer laser and diffraction gratings/meshes wit</w:t>
      </w:r>
      <w:r>
        <w:rPr>
          <w:rFonts w:ascii="Times New Roman" w:hAnsi="Times New Roman"/>
          <w:sz w:val="23"/>
        </w:rPr>
        <w:t>h different periods attached to the kit. As a part of the laboratory work, the student determines the period of the recorded gratings/meshes, determines the angles between adjacent maxima of the diffraction grating, and then clearly sees how the diffractio</w:t>
      </w:r>
      <w:r>
        <w:rPr>
          <w:rFonts w:ascii="Times New Roman" w:hAnsi="Times New Roman"/>
          <w:sz w:val="23"/>
        </w:rPr>
        <w:t xml:space="preserve">n pattern differs for gratings with different periods. </w:t>
      </w:r>
    </w:p>
    <w:p w14:paraId="15B253F2" w14:textId="77777777" w:rsidR="00400EB2" w:rsidRDefault="00FE32DC">
      <w:pPr>
        <w:spacing w:after="20" w:line="264" w:lineRule="auto"/>
        <w:jc w:val="both"/>
        <w:rPr>
          <w:rFonts w:ascii="Times New Roman" w:hAnsi="Times New Roman" w:cs="Times New Roman"/>
          <w:sz w:val="23"/>
          <w:szCs w:val="23"/>
        </w:rPr>
      </w:pPr>
      <w:r>
        <w:rPr>
          <w:rFonts w:ascii="Times New Roman" w:hAnsi="Times New Roman"/>
          <w:sz w:val="23"/>
        </w:rPr>
        <w:t xml:space="preserve">     The gratings are recorded in azobenzene films, their reading is not destructive to the recorded grating and is preserved even after long-term illumination with a pointer laser. Diffraction gratin</w:t>
      </w:r>
      <w:r>
        <w:rPr>
          <w:rFonts w:ascii="Times New Roman" w:hAnsi="Times New Roman"/>
          <w:sz w:val="23"/>
        </w:rPr>
        <w:t>gs also do not change during storage, which allows the kits to be used for a longer time.</w:t>
      </w:r>
    </w:p>
    <w:p w14:paraId="754B23EE" w14:textId="77777777" w:rsidR="00400EB2" w:rsidRDefault="00FE32DC">
      <w:pPr>
        <w:keepNext/>
        <w:spacing w:after="20" w:line="264" w:lineRule="auto"/>
        <w:jc w:val="both"/>
        <w:rPr>
          <w:rFonts w:ascii="Times New Roman" w:hAnsi="Times New Roman" w:cs="Times New Roman"/>
          <w:sz w:val="23"/>
          <w:szCs w:val="23"/>
        </w:rPr>
      </w:pPr>
      <w:r>
        <w:rPr>
          <w:rFonts w:ascii="Times New Roman" w:hAnsi="Times New Roman"/>
          <w:sz w:val="23"/>
        </w:rPr>
        <w:t xml:space="preserve">     </w:t>
      </w:r>
      <w:r>
        <w:rPr>
          <w:rFonts w:ascii="Times New Roman" w:hAnsi="Times New Roman"/>
          <w:b/>
          <w:sz w:val="23"/>
        </w:rPr>
        <w:t>In the second prototype</w:t>
      </w:r>
      <w:r>
        <w:rPr>
          <w:rFonts w:ascii="Times New Roman" w:hAnsi="Times New Roman"/>
          <w:sz w:val="23"/>
        </w:rPr>
        <w:t>, students have the opportunity to record their own diffraction gratings, similar to the ones they studied in the first prototype. Recordi</w:t>
      </w:r>
      <w:r>
        <w:rPr>
          <w:rFonts w:ascii="Times New Roman" w:hAnsi="Times New Roman"/>
          <w:sz w:val="23"/>
        </w:rPr>
        <w:t xml:space="preserve">ng requires azobenzene film, which is included in the kit. Using a beam splitter and a mirror, the laser beam is split into two beams that are crossed on the film surface in order to initiate the recording. The azobenzene film is sufficiently sensitive so </w:t>
      </w:r>
      <w:r>
        <w:rPr>
          <w:rFonts w:ascii="Times New Roman" w:hAnsi="Times New Roman"/>
          <w:sz w:val="23"/>
        </w:rPr>
        <w:t>that after a few seconds the diffracted rays of the first order would be visible on the screen. Diffracted rays of higher orders may appear later if a larger period is chosen. From the position of these beams, the student can determine the period of the re</w:t>
      </w:r>
      <w:r>
        <w:rPr>
          <w:rFonts w:ascii="Times New Roman" w:hAnsi="Times New Roman"/>
          <w:sz w:val="23"/>
        </w:rPr>
        <w:t>corded diffraction grating/mesh.</w:t>
      </w:r>
      <w:r>
        <w:rPr>
          <w:noProof/>
          <w:sz w:val="23"/>
        </w:rPr>
        <w:t xml:space="preserve"> </w:t>
      </w:r>
      <w:r>
        <w:rPr>
          <w:rFonts w:ascii="Times New Roman" w:hAnsi="Times New Roman"/>
          <w:sz w:val="23"/>
        </w:rPr>
        <w:t xml:space="preserve"> Diffraction gratings/meshes with different periods can be obtained by changing the angle between the two laser beams. This allows the student to perform recording on a regular plain writing desk.</w:t>
      </w:r>
    </w:p>
    <w:p w14:paraId="5EAE6A6E" w14:textId="77777777" w:rsidR="00400EB2" w:rsidRDefault="00FE32DC">
      <w:pPr>
        <w:keepNext/>
        <w:spacing w:after="20" w:line="264" w:lineRule="auto"/>
        <w:jc w:val="both"/>
        <w:rPr>
          <w:noProof/>
          <w:sz w:val="23"/>
          <w:szCs w:val="23"/>
        </w:rPr>
      </w:pPr>
      <w:r>
        <w:rPr>
          <w:rFonts w:ascii="Times New Roman" w:hAnsi="Times New Roman"/>
          <w:b/>
          <w:sz w:val="23"/>
        </w:rPr>
        <w:t>In the third prototype</w:t>
      </w:r>
      <w:r>
        <w:rPr>
          <w:rFonts w:ascii="Times New Roman" w:hAnsi="Times New Roman"/>
          <w:sz w:val="23"/>
        </w:rPr>
        <w:t>, th</w:t>
      </w:r>
      <w:r>
        <w:rPr>
          <w:rFonts w:ascii="Times New Roman" w:hAnsi="Times New Roman"/>
          <w:sz w:val="23"/>
        </w:rPr>
        <w:t xml:space="preserve">e user records a hologram of a small object of his choice (coin, brooch, figurine, </w:t>
      </w:r>
      <w:r>
        <w:rPr>
          <w:rFonts w:ascii="Times New Roman" w:hAnsi="Times New Roman"/>
          <w:i/>
          <w:sz w:val="23"/>
        </w:rPr>
        <w:t>etc.</w:t>
      </w:r>
      <w:r>
        <w:rPr>
          <w:rFonts w:ascii="Times New Roman" w:hAnsi="Times New Roman"/>
          <w:sz w:val="23"/>
        </w:rPr>
        <w:t>) in the light-sensitive material. Recording requires complete darkness, as the photosensitive material will be exposed and damaged if exposed to light prior to the reco</w:t>
      </w:r>
      <w:r>
        <w:rPr>
          <w:rFonts w:ascii="Times New Roman" w:hAnsi="Times New Roman"/>
          <w:sz w:val="23"/>
        </w:rPr>
        <w:t>rding. The material is commercially available photopolymers that do not require corrosive chemistry for developing/processing them. Post-recording processing takes place by placing the photographic material under the lamp.</w:t>
      </w:r>
      <w:r>
        <w:rPr>
          <w:noProof/>
          <w:sz w:val="23"/>
        </w:rPr>
        <w:t xml:space="preserve"> </w:t>
      </w:r>
    </w:p>
    <w:p w14:paraId="6435D94C" w14:textId="77777777" w:rsidR="00400EB2" w:rsidRDefault="00FE32DC">
      <w:pPr>
        <w:spacing w:after="20" w:line="264" w:lineRule="auto"/>
        <w:jc w:val="both"/>
        <w:rPr>
          <w:rFonts w:ascii="Times New Roman" w:hAnsi="Times New Roman" w:cs="Times New Roman"/>
          <w:sz w:val="23"/>
          <w:szCs w:val="23"/>
        </w:rPr>
      </w:pPr>
      <w:r>
        <w:rPr>
          <w:rFonts w:ascii="Times New Roman" w:hAnsi="Times New Roman"/>
          <w:noProof/>
          <w:sz w:val="23"/>
        </w:rPr>
        <w:t>The sensitivity of the photograp</w:t>
      </w:r>
      <w:r>
        <w:rPr>
          <w:rFonts w:ascii="Times New Roman" w:hAnsi="Times New Roman"/>
          <w:noProof/>
          <w:sz w:val="23"/>
        </w:rPr>
        <w:t xml:space="preserve">hic material is sufficient to make a recording within a few minutes. During this time, it is necessary to avoid creating any vibrations as much as possible. The proposed scheme makes it possible to perform recording on an ordinary writing desk. </w:t>
      </w:r>
    </w:p>
    <w:p w14:paraId="00DE2290" w14:textId="77777777" w:rsidR="00400EB2" w:rsidRDefault="00FE32DC">
      <w:pPr>
        <w:spacing w:after="20" w:line="264" w:lineRule="auto"/>
        <w:jc w:val="both"/>
        <w:rPr>
          <w:rFonts w:ascii="Times New Roman" w:hAnsi="Times New Roman" w:cs="Times New Roman"/>
          <w:sz w:val="23"/>
          <w:szCs w:val="23"/>
        </w:rPr>
      </w:pPr>
      <w:r>
        <w:rPr>
          <w:rFonts w:ascii="Times New Roman" w:hAnsi="Times New Roman" w:cs="Times New Roman"/>
          <w:noProof/>
          <w:sz w:val="23"/>
          <w:szCs w:val="23"/>
        </w:rPr>
        <w:drawing>
          <wp:anchor distT="0" distB="0" distL="114300" distR="114300" simplePos="0" relativeHeight="251661312" behindDoc="0" locked="0" layoutInCell="1" allowOverlap="1" wp14:anchorId="414895B5" wp14:editId="18A41FC4">
            <wp:simplePos x="0" y="0"/>
            <wp:positionH relativeFrom="margin">
              <wp:align>center</wp:align>
            </wp:positionH>
            <wp:positionV relativeFrom="paragraph">
              <wp:posOffset>351790</wp:posOffset>
            </wp:positionV>
            <wp:extent cx="5831205" cy="128524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205" cy="1285240"/>
                    </a:xfrm>
                    <a:prstGeom prst="rect">
                      <a:avLst/>
                    </a:prstGeom>
                    <a:noFill/>
                  </pic:spPr>
                </pic:pic>
              </a:graphicData>
            </a:graphic>
          </wp:anchor>
        </w:drawing>
      </w:r>
    </w:p>
    <w:p w14:paraId="64E09BA4" w14:textId="77777777" w:rsidR="00400EB2" w:rsidRDefault="00400EB2">
      <w:pPr>
        <w:spacing w:after="20" w:line="264" w:lineRule="auto"/>
        <w:jc w:val="both"/>
        <w:rPr>
          <w:rFonts w:ascii="Times New Roman" w:hAnsi="Times New Roman" w:cs="Times New Roman"/>
          <w:sz w:val="23"/>
          <w:szCs w:val="23"/>
        </w:rPr>
      </w:pPr>
    </w:p>
    <w:p w14:paraId="17BFDEAA" w14:textId="780DEFCB" w:rsidR="00400EB2" w:rsidRPr="00FE32DC" w:rsidRDefault="00FE32DC">
      <w:pPr>
        <w:spacing w:after="20" w:line="264" w:lineRule="auto"/>
        <w:jc w:val="both"/>
        <w:rPr>
          <w:rFonts w:ascii="Times New Roman" w:hAnsi="Times New Roman" w:cs="Times New Roman"/>
          <w:i/>
          <w:sz w:val="23"/>
          <w:szCs w:val="23"/>
          <w:lang w:val="it-IT"/>
        </w:rPr>
      </w:pPr>
      <w:r w:rsidRPr="00FE32DC">
        <w:rPr>
          <w:rFonts w:ascii="Times New Roman" w:hAnsi="Times New Roman"/>
          <w:i/>
          <w:sz w:val="23"/>
          <w:lang w:val="it-IT"/>
        </w:rPr>
        <w:t>Prototype No. 1</w:t>
      </w:r>
      <w:r w:rsidRPr="00FE32DC">
        <w:rPr>
          <w:lang w:val="it-IT"/>
        </w:rPr>
        <w:tab/>
      </w:r>
      <w:r w:rsidRPr="00FE32DC">
        <w:rPr>
          <w:lang w:val="it-IT"/>
        </w:rPr>
        <w:tab/>
      </w:r>
      <w:r w:rsidRPr="00FE32DC">
        <w:rPr>
          <w:lang w:val="it-IT"/>
        </w:rPr>
        <w:tab/>
      </w:r>
      <w:r w:rsidRPr="00FE32DC">
        <w:rPr>
          <w:rFonts w:ascii="Times New Roman" w:hAnsi="Times New Roman"/>
          <w:i/>
          <w:sz w:val="23"/>
          <w:lang w:val="it-IT"/>
        </w:rPr>
        <w:t>Prototype No. 2</w:t>
      </w:r>
      <w:r w:rsidRPr="00FE32DC">
        <w:rPr>
          <w:lang w:val="it-IT"/>
        </w:rPr>
        <w:tab/>
      </w:r>
      <w:r w:rsidRPr="00FE32DC">
        <w:rPr>
          <w:lang w:val="it-IT"/>
        </w:rPr>
        <w:tab/>
      </w:r>
      <w:r>
        <w:rPr>
          <w:lang w:val="it-IT"/>
        </w:rPr>
        <w:t xml:space="preserve">      </w:t>
      </w:r>
      <w:r w:rsidRPr="00FE32DC">
        <w:rPr>
          <w:rFonts w:ascii="Times New Roman" w:hAnsi="Times New Roman"/>
          <w:i/>
          <w:sz w:val="23"/>
          <w:lang w:val="it-IT"/>
        </w:rPr>
        <w:t>Prototype No. 3</w:t>
      </w:r>
    </w:p>
    <w:p w14:paraId="36CDD6E8" w14:textId="77777777" w:rsidR="00400EB2" w:rsidRPr="00FE32DC" w:rsidRDefault="00400EB2">
      <w:pPr>
        <w:spacing w:after="20" w:line="264" w:lineRule="auto"/>
        <w:jc w:val="both"/>
        <w:rPr>
          <w:rFonts w:ascii="Times New Roman" w:hAnsi="Times New Roman" w:cs="Times New Roman"/>
          <w:sz w:val="23"/>
          <w:szCs w:val="23"/>
          <w:lang w:val="it-IT"/>
        </w:rPr>
      </w:pPr>
    </w:p>
    <w:p w14:paraId="11BA5023" w14:textId="77777777" w:rsidR="00400EB2" w:rsidRDefault="00FE32DC">
      <w:pPr>
        <w:spacing w:after="20" w:line="264" w:lineRule="auto"/>
        <w:jc w:val="both"/>
        <w:rPr>
          <w:rFonts w:ascii="Times New Roman" w:hAnsi="Times New Roman" w:cs="Times New Roman"/>
          <w:sz w:val="23"/>
          <w:szCs w:val="23"/>
        </w:rPr>
      </w:pPr>
      <w:r w:rsidRPr="00FE32DC">
        <w:rPr>
          <w:rFonts w:ascii="Times New Roman" w:hAnsi="Times New Roman"/>
          <w:sz w:val="23"/>
          <w:lang w:val="it-IT"/>
        </w:rPr>
        <w:t xml:space="preserve">     </w:t>
      </w:r>
      <w:r>
        <w:rPr>
          <w:rFonts w:ascii="Times New Roman" w:hAnsi="Times New Roman"/>
          <w:sz w:val="23"/>
        </w:rPr>
        <w:t xml:space="preserve">The created learning kits allow the user to get acquainted with the wave-like nature of light, to get acquainted with the light-material interaction, independently obtain diffraction gratings with </w:t>
      </w:r>
      <w:r>
        <w:rPr>
          <w:rFonts w:ascii="Times New Roman" w:hAnsi="Times New Roman"/>
          <w:sz w:val="23"/>
        </w:rPr>
        <w:t>different periods and record a hologram of an arbitrary object.</w:t>
      </w:r>
    </w:p>
    <w:p w14:paraId="33A0F7A0" w14:textId="77777777" w:rsidR="00400EB2" w:rsidRDefault="00FE32DC">
      <w:pPr>
        <w:spacing w:after="20" w:line="264" w:lineRule="auto"/>
        <w:jc w:val="both"/>
        <w:rPr>
          <w:rFonts w:ascii="Trebuchet MS" w:hAnsi="Trebuchet MS"/>
          <w:sz w:val="23"/>
          <w:szCs w:val="23"/>
        </w:rPr>
      </w:pPr>
      <w:r>
        <w:rPr>
          <w:rFonts w:ascii="Times New Roman" w:hAnsi="Times New Roman"/>
          <w:sz w:val="23"/>
        </w:rPr>
        <w:lastRenderedPageBreak/>
        <w:t>Methodical material for teachers and a description of know-how have been prepared. The designs of all three prototypes are registered in the European Community (Application No. 009161318)</w:t>
      </w:r>
      <w:r>
        <w:rPr>
          <w:rFonts w:ascii="Trebuchet MS" w:hAnsi="Trebuchet MS"/>
          <w:sz w:val="23"/>
          <w:szCs w:val="23"/>
        </w:rPr>
        <w:fldChar w:fldCharType="begin"/>
      </w:r>
      <w:r>
        <w:rPr>
          <w:rFonts w:ascii="Trebuchet MS" w:hAnsi="Trebuchet MS"/>
          <w:sz w:val="23"/>
          <w:szCs w:val="23"/>
        </w:rPr>
        <w:instrText xml:space="preserve"> INCL</w:instrText>
      </w:r>
      <w:r>
        <w:rPr>
          <w:rFonts w:ascii="Trebuchet MS" w:hAnsi="Trebuchet MS"/>
          <w:sz w:val="23"/>
          <w:szCs w:val="23"/>
        </w:rPr>
        <w:instrText xml:space="preserve">UDEPICTURE "C:\\var\\folders\\64\\qyjtg5sj4g15slg4dzx9vrp40000gn\\T\\com.microsoft.Word\\WebArchiveCopyPasteTempFiles\\page1image12933008" \* MERGEFORMAT </w:instrText>
      </w:r>
      <w:r>
        <w:rPr>
          <w:rFonts w:ascii="Trebuchet MS" w:hAnsi="Trebuchet MS"/>
          <w:sz w:val="23"/>
          <w:szCs w:val="23"/>
        </w:rPr>
        <w:fldChar w:fldCharType="end"/>
      </w:r>
    </w:p>
    <w:sectPr w:rsidR="00400EB2">
      <w:footerReference w:type="default" r:id="rId12"/>
      <w:pgSz w:w="11900" w:h="16840"/>
      <w:pgMar w:top="191" w:right="1200" w:bottom="764"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1033" w14:textId="77777777" w:rsidR="00400EB2" w:rsidRDefault="00FE32DC">
      <w:pPr>
        <w:spacing w:line="240" w:lineRule="auto"/>
      </w:pPr>
      <w:r>
        <w:separator/>
      </w:r>
    </w:p>
  </w:endnote>
  <w:endnote w:type="continuationSeparator" w:id="0">
    <w:p w14:paraId="4CA641F5" w14:textId="77777777" w:rsidR="00400EB2" w:rsidRDefault="00FE3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Next">
    <w:altName w:val="Corbel"/>
    <w:charset w:val="00"/>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2CF3" w14:textId="77777777" w:rsidR="00400EB2" w:rsidRDefault="00400EB2">
    <w:pPr>
      <w:widowControl w:val="0"/>
      <w:pBdr>
        <w:top w:val="nil"/>
        <w:left w:val="nil"/>
        <w:bottom w:val="nil"/>
        <w:right w:val="nil"/>
        <w:between w:val="nil"/>
      </w:pBdr>
      <w:spacing w:before="262" w:line="248" w:lineRule="auto"/>
      <w:ind w:left="765" w:right="-31"/>
      <w:jc w:val="center"/>
      <w:rPr>
        <w:rFonts w:ascii="Trebuchet MS" w:eastAsia="Calibri" w:hAnsi="Trebuchet MS"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61F7" w14:textId="77777777" w:rsidR="00400EB2" w:rsidRDefault="00FE32DC">
      <w:pPr>
        <w:spacing w:line="240" w:lineRule="auto"/>
      </w:pPr>
      <w:r>
        <w:separator/>
      </w:r>
    </w:p>
  </w:footnote>
  <w:footnote w:type="continuationSeparator" w:id="0">
    <w:p w14:paraId="75021EB5" w14:textId="77777777" w:rsidR="00400EB2" w:rsidRDefault="00FE32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D06C0"/>
    <w:multiLevelType w:val="multilevel"/>
    <w:tmpl w:val="47C8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733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MDE2tDSxMDe2tLRU0lEKTi0uzszPAykwrgUAjCyYgywAAAA="/>
  </w:docVars>
  <w:rsids>
    <w:rsidRoot w:val="00400EB2"/>
    <w:rsid w:val="00400EB2"/>
    <w:rsid w:val="00FE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BF52"/>
  <w15:docId w15:val="{320BCEAE-E382-4FA3-BF0E-4E474130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en-GB"/>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line="240" w:lineRule="auto"/>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after="200" w:line="240" w:lineRule="auto"/>
    </w:pPr>
    <w:rPr>
      <w:rFonts w:asciiTheme="minorHAnsi" w:eastAsiaTheme="minorHAnsi" w:hAnsiTheme="minorHAnsi" w:cstheme="minorBidi"/>
      <w:i/>
      <w:iCs/>
      <w:color w:val="1F497D" w:themeColor="text2"/>
      <w:sz w:val="18"/>
      <w:szCs w:val="18"/>
    </w:rPr>
  </w:style>
  <w:style w:type="table" w:styleId="TableGrid">
    <w:name w:val="Table Grid"/>
    <w:basedOn w:val="TableNormal"/>
    <w:uiPriority w:val="39"/>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3019">
      <w:bodyDiv w:val="1"/>
      <w:marLeft w:val="0"/>
      <w:marRight w:val="0"/>
      <w:marTop w:val="0"/>
      <w:marBottom w:val="0"/>
      <w:divBdr>
        <w:top w:val="none" w:sz="0" w:space="0" w:color="auto"/>
        <w:left w:val="none" w:sz="0" w:space="0" w:color="auto"/>
        <w:bottom w:val="none" w:sz="0" w:space="0" w:color="auto"/>
        <w:right w:val="none" w:sz="0" w:space="0" w:color="auto"/>
      </w:divBdr>
    </w:div>
    <w:div w:id="1323657712">
      <w:bodyDiv w:val="1"/>
      <w:marLeft w:val="0"/>
      <w:marRight w:val="0"/>
      <w:marTop w:val="0"/>
      <w:marBottom w:val="0"/>
      <w:divBdr>
        <w:top w:val="none" w:sz="0" w:space="0" w:color="auto"/>
        <w:left w:val="none" w:sz="0" w:space="0" w:color="auto"/>
        <w:bottom w:val="none" w:sz="0" w:space="0" w:color="auto"/>
        <w:right w:val="none" w:sz="0" w:space="0" w:color="auto"/>
      </w:divBdr>
      <w:divsChild>
        <w:div w:id="1003439574">
          <w:marLeft w:val="0"/>
          <w:marRight w:val="0"/>
          <w:marTop w:val="0"/>
          <w:marBottom w:val="0"/>
          <w:divBdr>
            <w:top w:val="none" w:sz="0" w:space="0" w:color="auto"/>
            <w:left w:val="none" w:sz="0" w:space="0" w:color="auto"/>
            <w:bottom w:val="none" w:sz="0" w:space="0" w:color="auto"/>
            <w:right w:val="none" w:sz="0" w:space="0" w:color="auto"/>
          </w:divBdr>
        </w:div>
      </w:divsChild>
    </w:div>
    <w:div w:id="1404835402">
      <w:bodyDiv w:val="1"/>
      <w:marLeft w:val="0"/>
      <w:marRight w:val="0"/>
      <w:marTop w:val="0"/>
      <w:marBottom w:val="0"/>
      <w:divBdr>
        <w:top w:val="none" w:sz="0" w:space="0" w:color="auto"/>
        <w:left w:val="none" w:sz="0" w:space="0" w:color="auto"/>
        <w:bottom w:val="none" w:sz="0" w:space="0" w:color="auto"/>
        <w:right w:val="none" w:sz="0" w:space="0" w:color="auto"/>
      </w:divBdr>
      <w:divsChild>
        <w:div w:id="35860646">
          <w:marLeft w:val="0"/>
          <w:marRight w:val="0"/>
          <w:marTop w:val="0"/>
          <w:marBottom w:val="0"/>
          <w:divBdr>
            <w:top w:val="none" w:sz="0" w:space="0" w:color="auto"/>
            <w:left w:val="none" w:sz="0" w:space="0" w:color="auto"/>
            <w:bottom w:val="none" w:sz="0" w:space="0" w:color="auto"/>
            <w:right w:val="none" w:sz="0" w:space="0" w:color="auto"/>
          </w:divBdr>
          <w:divsChild>
            <w:div w:id="876888656">
              <w:marLeft w:val="0"/>
              <w:marRight w:val="0"/>
              <w:marTop w:val="0"/>
              <w:marBottom w:val="0"/>
              <w:divBdr>
                <w:top w:val="none" w:sz="0" w:space="0" w:color="auto"/>
                <w:left w:val="none" w:sz="0" w:space="0" w:color="auto"/>
                <w:bottom w:val="none" w:sz="0" w:space="0" w:color="auto"/>
                <w:right w:val="none" w:sz="0" w:space="0" w:color="auto"/>
              </w:divBdr>
              <w:divsChild>
                <w:div w:id="608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798">
      <w:bodyDiv w:val="1"/>
      <w:marLeft w:val="0"/>
      <w:marRight w:val="0"/>
      <w:marTop w:val="0"/>
      <w:marBottom w:val="0"/>
      <w:divBdr>
        <w:top w:val="none" w:sz="0" w:space="0" w:color="auto"/>
        <w:left w:val="none" w:sz="0" w:space="0" w:color="auto"/>
        <w:bottom w:val="none" w:sz="0" w:space="0" w:color="auto"/>
        <w:right w:val="none" w:sz="0" w:space="0" w:color="auto"/>
      </w:divBdr>
    </w:div>
    <w:div w:id="2079010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8832D-2716-4A82-930A-1A309E6BAEA4}">
  <ds:schemaRefs>
    <ds:schemaRef ds:uri="http://schemas.openxmlformats.org/officeDocument/2006/bibliography"/>
  </ds:schemaRefs>
</ds:datastoreItem>
</file>

<file path=customXml/itemProps2.xml><?xml version="1.0" encoding="utf-8"?>
<ds:datastoreItem xmlns:ds="http://schemas.openxmlformats.org/officeDocument/2006/customXml" ds:itemID="{B8213C4A-7967-4454-9969-F6100C80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72B4E-8937-4EAA-9F12-596E617441C8}">
  <ds:schemaRefs>
    <ds:schemaRef ds:uri="http://schemas.microsoft.com/office/2006/metadata/properties"/>
    <ds:schemaRef ds:uri="http://schemas.microsoft.com/office/infopath/2007/PartnerControls"/>
    <ds:schemaRef ds:uri="7793fe6a-fa30-40d0-91d0-7d74abe4b2c9"/>
    <ds:schemaRef ds:uri="bca3d327-2aa5-4109-a750-173461e020ea"/>
  </ds:schemaRefs>
</ds:datastoreItem>
</file>

<file path=customXml/itemProps4.xml><?xml version="1.0" encoding="utf-8"?>
<ds:datastoreItem xmlns:ds="http://schemas.openxmlformats.org/officeDocument/2006/customXml" ds:itemID="{6F9E99D0-923A-4005-9FA8-D9AA109D9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Roper</dc:creator>
  <cp:lastModifiedBy>Ronalds Teivans</cp:lastModifiedBy>
  <cp:revision>18</cp:revision>
  <dcterms:created xsi:type="dcterms:W3CDTF">2022-05-24T07:19:00Z</dcterms:created>
  <dcterms:modified xsi:type="dcterms:W3CDTF">2022-09-20T11:39:00Z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