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Default="00DB2868" w:rsidP="00672166">
      <w:pPr>
        <w:jc w:val="right"/>
      </w:pPr>
    </w:p>
    <w:p w14:paraId="0FC367F3" w14:textId="66426E80" w:rsidR="00672166" w:rsidRPr="006265AE" w:rsidRDefault="00672166" w:rsidP="00672166">
      <w:pPr>
        <w:jc w:val="right"/>
      </w:pPr>
      <w:r w:rsidRPr="006265AE">
        <w:t>APSTIPRINĀTS:</w:t>
      </w:r>
    </w:p>
    <w:p w14:paraId="56777BDD" w14:textId="5A7D23A3" w:rsidR="00672166" w:rsidRPr="006265AE" w:rsidRDefault="004C46F9" w:rsidP="00630D57">
      <w:pPr>
        <w:jc w:val="right"/>
      </w:pPr>
      <w:r w:rsidRPr="006265AE">
        <w:t>202</w:t>
      </w:r>
      <w:r w:rsidR="00EA0DCB">
        <w:t>1</w:t>
      </w:r>
      <w:r w:rsidR="00672166" w:rsidRPr="006265AE">
        <w:t xml:space="preserve">. gada </w:t>
      </w:r>
      <w:r w:rsidR="00630D57">
        <w:t>29.marta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4FA163B4" w14:textId="0EA226FB" w:rsidR="00615D8E" w:rsidRPr="006265AE" w:rsidRDefault="00630D57" w:rsidP="00D902FE">
      <w:pPr>
        <w:jc w:val="center"/>
      </w:pPr>
      <w:r w:rsidRPr="00630D57">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Laboratorijas materiālu un ķimikāliju iegāde dažādu projektu realizēšanai</w:t>
      </w:r>
    </w:p>
    <w:p w14:paraId="7F047274" w14:textId="0F9A241D" w:rsidR="00472833" w:rsidRPr="006265AE" w:rsidRDefault="005A160B" w:rsidP="00630D57">
      <w:pPr>
        <w:jc w:val="center"/>
      </w:pPr>
      <w:r w:rsidRPr="006265AE">
        <w:t>I</w:t>
      </w:r>
      <w:r w:rsidR="00E335A3" w:rsidRPr="006265AE">
        <w:t>D</w:t>
      </w:r>
      <w:r w:rsidR="006A416A" w:rsidRPr="006265AE">
        <w:t>. Nr. LU CFI 202</w:t>
      </w:r>
      <w:r w:rsidR="00EA0DCB">
        <w:t>1</w:t>
      </w:r>
      <w:r w:rsidRPr="006265AE">
        <w:t>/</w:t>
      </w:r>
      <w:r w:rsidR="00630D57">
        <w:t>8</w:t>
      </w:r>
      <w:r w:rsidR="00DB40FE" w:rsidRPr="006265AE">
        <w:t>/ERAF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10D16246"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EA0DCB">
        <w:rPr>
          <w:sz w:val="22"/>
          <w:szCs w:val="22"/>
        </w:rPr>
        <w:t>21</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4CC530BD" w:rsidR="00216295" w:rsidRPr="006265AE" w:rsidRDefault="00216295" w:rsidP="00630D57">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EA0DCB">
        <w:rPr>
          <w:rFonts w:asciiTheme="majorBidi" w:hAnsiTheme="majorBidi" w:cstheme="majorBidi"/>
        </w:rPr>
        <w:t>LU CFI 2021</w:t>
      </w:r>
      <w:r w:rsidR="005A160B" w:rsidRPr="006265AE">
        <w:rPr>
          <w:rFonts w:asciiTheme="majorBidi" w:hAnsiTheme="majorBidi" w:cstheme="majorBidi"/>
        </w:rPr>
        <w:t>/</w:t>
      </w:r>
      <w:r w:rsidR="00630D57">
        <w:rPr>
          <w:rFonts w:asciiTheme="majorBidi" w:hAnsiTheme="majorBidi" w:cstheme="majorBidi"/>
        </w:rPr>
        <w:t>8</w:t>
      </w:r>
      <w:r w:rsidR="00DB40FE" w:rsidRPr="006265AE">
        <w:rPr>
          <w:rFonts w:asciiTheme="majorBidi" w:hAnsiTheme="majorBidi" w:cstheme="majorBidi"/>
        </w:rPr>
        <w:t>/</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060F248A" w:rsidR="00BA0488" w:rsidRPr="006265AE" w:rsidRDefault="000D706D" w:rsidP="00A020FD">
      <w:pPr>
        <w:pStyle w:val="ListParagraph"/>
        <w:numPr>
          <w:ilvl w:val="1"/>
          <w:numId w:val="4"/>
        </w:numPr>
        <w:ind w:left="567" w:hanging="567"/>
        <w:rPr>
          <w:rFonts w:asciiTheme="majorBidi" w:hAnsiTheme="majorBidi" w:cstheme="majorBidi"/>
          <w:color w:val="000000"/>
          <w:spacing w:val="-1"/>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630D57" w:rsidRPr="00630D57">
        <w:rPr>
          <w:rFonts w:asciiTheme="majorBidi" w:hAnsiTheme="majorBidi" w:cstheme="majorBidi"/>
          <w:color w:val="000000"/>
          <w:spacing w:val="-1"/>
        </w:rPr>
        <w:t>Laboratorijas materiālu un ķimikāliju iegāde dažādu projektu realizēšanai</w:t>
      </w:r>
      <w:r w:rsidR="00630D57">
        <w:rPr>
          <w:rFonts w:asciiTheme="majorBidi" w:hAnsiTheme="majorBidi" w:cstheme="majorBidi"/>
          <w:color w:val="000000"/>
          <w:spacing w:val="-1"/>
        </w:rPr>
        <w:t>,</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0D7CBD64" w14:textId="77777777" w:rsidR="00781EC8" w:rsidRPr="006265AE" w:rsidRDefault="00216295" w:rsidP="00781EC8">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60435EF4" w14:textId="6B485CB6" w:rsidR="00085295" w:rsidRPr="006265AE" w:rsidRDefault="004673D5" w:rsidP="00A020FD">
      <w:pPr>
        <w:numPr>
          <w:ilvl w:val="1"/>
          <w:numId w:val="4"/>
        </w:numPr>
        <w:suppressAutoHyphens w:val="0"/>
        <w:ind w:left="567" w:hanging="567"/>
        <w:jc w:val="both"/>
        <w:rPr>
          <w:rFonts w:asciiTheme="majorBidi" w:hAnsiTheme="majorBidi" w:cstheme="majorBidi"/>
          <w:color w:val="000000"/>
        </w:rPr>
      </w:pPr>
      <w:r w:rsidRPr="006265AE">
        <w:rPr>
          <w:rFonts w:asciiTheme="majorBidi" w:hAnsiTheme="majorBidi" w:cstheme="majorBidi"/>
          <w:b/>
          <w:color w:val="000000"/>
          <w:spacing w:val="-1"/>
        </w:rPr>
        <w:t>Galvenais CPV kods:</w:t>
      </w:r>
      <w:r w:rsidR="00A020FD">
        <w:rPr>
          <w:rFonts w:asciiTheme="majorBidi" w:hAnsiTheme="majorBidi" w:cstheme="majorBidi"/>
          <w:lang w:eastAsia="lv-LV"/>
        </w:rPr>
        <w:t xml:space="preserve"> </w:t>
      </w:r>
      <w:r w:rsidR="00A020FD" w:rsidRPr="00A020FD">
        <w:rPr>
          <w:rFonts w:asciiTheme="majorBidi" w:hAnsiTheme="majorBidi" w:cstheme="majorBidi"/>
          <w:lang w:eastAsia="lv-LV"/>
        </w:rPr>
        <w:t>24300000-7</w:t>
      </w:r>
      <w:r w:rsidR="00A020FD" w:rsidRPr="00A020FD">
        <w:rPr>
          <w:rFonts w:asciiTheme="majorBidi" w:hAnsiTheme="majorBidi" w:cstheme="majorBidi"/>
          <w:lang w:eastAsia="lv-LV"/>
        </w:rPr>
        <w:tab/>
        <w:t>Neorganiskās un organiskās ķīmijas pamatvielas.</w:t>
      </w:r>
    </w:p>
    <w:p w14:paraId="2354A50D" w14:textId="77777777" w:rsidR="00DB40FE" w:rsidRPr="00A020FD" w:rsidRDefault="00D15E1D" w:rsidP="00DB40FE">
      <w:pPr>
        <w:suppressAutoHyphens w:val="0"/>
        <w:ind w:left="567"/>
        <w:rPr>
          <w:rFonts w:asciiTheme="majorBidi" w:hAnsiTheme="majorBidi" w:cstheme="majorBidi"/>
          <w:i/>
          <w:iCs/>
          <w:lang w:eastAsia="lv-LV"/>
        </w:rPr>
      </w:pPr>
      <w:r w:rsidRPr="00A020FD">
        <w:rPr>
          <w:rFonts w:asciiTheme="majorBidi" w:hAnsiTheme="majorBidi" w:cstheme="majorBidi"/>
          <w:i/>
          <w:iCs/>
          <w:lang w:eastAsia="lv-LV"/>
        </w:rPr>
        <w:t>Papildus CPV kod</w:t>
      </w:r>
      <w:r w:rsidR="00DB40FE" w:rsidRPr="00A020FD">
        <w:rPr>
          <w:rFonts w:asciiTheme="majorBidi" w:hAnsiTheme="majorBidi" w:cstheme="majorBidi"/>
          <w:i/>
          <w:iCs/>
          <w:lang w:eastAsia="lv-LV"/>
        </w:rPr>
        <w:t>i</w:t>
      </w:r>
      <w:r w:rsidRPr="00A020FD">
        <w:rPr>
          <w:rFonts w:asciiTheme="majorBidi" w:hAnsiTheme="majorBidi" w:cstheme="majorBidi"/>
          <w:i/>
          <w:iCs/>
          <w:lang w:eastAsia="lv-LV"/>
        </w:rPr>
        <w:t xml:space="preserve">: </w:t>
      </w:r>
    </w:p>
    <w:tbl>
      <w:tblPr>
        <w:tblW w:w="6096" w:type="dxa"/>
        <w:tblInd w:w="567" w:type="dxa"/>
        <w:tblLook w:val="04A0" w:firstRow="1" w:lastRow="0" w:firstColumn="1" w:lastColumn="0" w:noHBand="0" w:noVBand="1"/>
      </w:tblPr>
      <w:tblGrid>
        <w:gridCol w:w="1560"/>
        <w:gridCol w:w="4536"/>
      </w:tblGrid>
      <w:tr w:rsidR="00EA0DCB" w:rsidRPr="00A020FD" w14:paraId="0C7AF766" w14:textId="77777777" w:rsidTr="00615D8E">
        <w:trPr>
          <w:trHeight w:val="290"/>
        </w:trPr>
        <w:tc>
          <w:tcPr>
            <w:tcW w:w="1560" w:type="dxa"/>
            <w:tcBorders>
              <w:top w:val="nil"/>
              <w:left w:val="nil"/>
              <w:bottom w:val="nil"/>
              <w:right w:val="nil"/>
            </w:tcBorders>
            <w:shd w:val="clear" w:color="auto" w:fill="auto"/>
            <w:noWrap/>
            <w:vAlign w:val="bottom"/>
          </w:tcPr>
          <w:p w14:paraId="49A3B6D3" w14:textId="00A89AD1" w:rsidR="00EA0DCB" w:rsidRPr="00A020FD" w:rsidRDefault="00A020FD" w:rsidP="00615D8E">
            <w:pPr>
              <w:suppressAutoHyphens w:val="0"/>
              <w:rPr>
                <w:rFonts w:asciiTheme="majorBidi" w:hAnsiTheme="majorBidi" w:cstheme="majorBidi"/>
                <w:i/>
                <w:iCs/>
                <w:color w:val="000000"/>
                <w:sz w:val="22"/>
                <w:szCs w:val="22"/>
                <w:lang w:eastAsia="lv-LV"/>
              </w:rPr>
            </w:pPr>
            <w:r w:rsidRPr="00A020FD">
              <w:rPr>
                <w:rFonts w:asciiTheme="majorBidi" w:hAnsiTheme="majorBidi" w:cstheme="majorBidi"/>
                <w:i/>
                <w:iCs/>
                <w:color w:val="000000"/>
                <w:lang w:eastAsia="lv-LV"/>
              </w:rPr>
              <w:t>19520000-7</w:t>
            </w:r>
          </w:p>
        </w:tc>
        <w:tc>
          <w:tcPr>
            <w:tcW w:w="4536" w:type="dxa"/>
            <w:tcBorders>
              <w:top w:val="nil"/>
              <w:left w:val="nil"/>
              <w:bottom w:val="nil"/>
              <w:right w:val="nil"/>
            </w:tcBorders>
            <w:shd w:val="clear" w:color="auto" w:fill="auto"/>
            <w:noWrap/>
            <w:vAlign w:val="bottom"/>
          </w:tcPr>
          <w:p w14:paraId="28A9930C" w14:textId="6A2ACC2D" w:rsidR="00EA0DCB" w:rsidRPr="00A020FD" w:rsidRDefault="00A020FD" w:rsidP="00615D8E">
            <w:pPr>
              <w:rPr>
                <w:rFonts w:asciiTheme="majorBidi" w:hAnsiTheme="majorBidi" w:cstheme="majorBidi"/>
                <w:i/>
                <w:iCs/>
                <w:color w:val="000000"/>
                <w:sz w:val="22"/>
                <w:szCs w:val="22"/>
                <w:lang w:eastAsia="lv-LV"/>
              </w:rPr>
            </w:pPr>
            <w:r w:rsidRPr="00A020FD">
              <w:rPr>
                <w:rFonts w:asciiTheme="majorBidi" w:hAnsiTheme="majorBidi" w:cstheme="majorBidi"/>
                <w:i/>
                <w:iCs/>
                <w:color w:val="000000"/>
                <w:lang w:eastAsia="lv-LV"/>
              </w:rPr>
              <w:t>Plastmasas izstrādājumi</w:t>
            </w:r>
          </w:p>
        </w:tc>
      </w:tr>
      <w:tr w:rsidR="00EA0DCB" w:rsidRPr="00A020FD" w14:paraId="3C2E2A97" w14:textId="77777777" w:rsidTr="00615D8E">
        <w:trPr>
          <w:trHeight w:val="290"/>
        </w:trPr>
        <w:tc>
          <w:tcPr>
            <w:tcW w:w="1560" w:type="dxa"/>
            <w:tcBorders>
              <w:top w:val="nil"/>
              <w:left w:val="nil"/>
              <w:bottom w:val="nil"/>
              <w:right w:val="nil"/>
            </w:tcBorders>
            <w:shd w:val="clear" w:color="auto" w:fill="auto"/>
            <w:noWrap/>
            <w:vAlign w:val="bottom"/>
          </w:tcPr>
          <w:p w14:paraId="6471B4D5" w14:textId="45DE498E" w:rsidR="00EA0DCB" w:rsidRPr="00A020FD" w:rsidRDefault="00A020FD" w:rsidP="00615D8E">
            <w:pPr>
              <w:suppressAutoHyphens w:val="0"/>
              <w:rPr>
                <w:rFonts w:asciiTheme="majorBidi" w:hAnsiTheme="majorBidi" w:cstheme="majorBidi"/>
                <w:i/>
                <w:iCs/>
                <w:color w:val="000000"/>
                <w:sz w:val="22"/>
                <w:szCs w:val="22"/>
                <w:lang w:eastAsia="lv-LV"/>
              </w:rPr>
            </w:pPr>
            <w:r w:rsidRPr="00A020FD">
              <w:rPr>
                <w:rFonts w:asciiTheme="majorBidi" w:hAnsiTheme="majorBidi" w:cstheme="majorBidi"/>
                <w:i/>
                <w:iCs/>
                <w:color w:val="000000"/>
                <w:lang w:eastAsia="lv-LV"/>
              </w:rPr>
              <w:t>24320000-3</w:t>
            </w:r>
          </w:p>
        </w:tc>
        <w:tc>
          <w:tcPr>
            <w:tcW w:w="4536" w:type="dxa"/>
            <w:tcBorders>
              <w:top w:val="nil"/>
              <w:left w:val="nil"/>
              <w:bottom w:val="nil"/>
              <w:right w:val="nil"/>
            </w:tcBorders>
            <w:shd w:val="clear" w:color="auto" w:fill="auto"/>
            <w:noWrap/>
            <w:vAlign w:val="bottom"/>
          </w:tcPr>
          <w:p w14:paraId="793332BB" w14:textId="322E5093" w:rsidR="00EA0DCB" w:rsidRPr="00A020FD" w:rsidRDefault="00A020FD" w:rsidP="00EA0DCB">
            <w:pPr>
              <w:suppressAutoHyphens w:val="0"/>
              <w:rPr>
                <w:rFonts w:asciiTheme="majorBidi" w:hAnsiTheme="majorBidi" w:cstheme="majorBidi"/>
                <w:i/>
                <w:iCs/>
                <w:color w:val="000000"/>
                <w:sz w:val="22"/>
                <w:szCs w:val="22"/>
                <w:lang w:eastAsia="lv-LV"/>
              </w:rPr>
            </w:pPr>
            <w:r w:rsidRPr="00A020FD">
              <w:rPr>
                <w:rFonts w:asciiTheme="majorBidi" w:hAnsiTheme="majorBidi" w:cstheme="majorBidi"/>
                <w:i/>
                <w:iCs/>
                <w:color w:val="000000"/>
                <w:lang w:eastAsia="lv-LV"/>
              </w:rPr>
              <w:t>Organiskās ķīmijas pamatvielas</w:t>
            </w:r>
          </w:p>
        </w:tc>
      </w:tr>
      <w:tr w:rsidR="00EA0DCB" w:rsidRPr="00A020FD" w14:paraId="63BFBF2B" w14:textId="77777777" w:rsidTr="00615D8E">
        <w:trPr>
          <w:trHeight w:val="290"/>
        </w:trPr>
        <w:tc>
          <w:tcPr>
            <w:tcW w:w="1560" w:type="dxa"/>
            <w:tcBorders>
              <w:top w:val="nil"/>
              <w:left w:val="nil"/>
              <w:bottom w:val="nil"/>
              <w:right w:val="nil"/>
            </w:tcBorders>
            <w:shd w:val="clear" w:color="auto" w:fill="auto"/>
            <w:noWrap/>
            <w:vAlign w:val="bottom"/>
          </w:tcPr>
          <w:p w14:paraId="5224CA08" w14:textId="64035DEC" w:rsidR="00EA0DCB" w:rsidRPr="00A020FD" w:rsidRDefault="00A020FD" w:rsidP="00615D8E">
            <w:pPr>
              <w:suppressAutoHyphens w:val="0"/>
              <w:rPr>
                <w:rFonts w:asciiTheme="majorBidi" w:hAnsiTheme="majorBidi" w:cstheme="majorBidi"/>
                <w:i/>
                <w:iCs/>
                <w:color w:val="000000"/>
                <w:sz w:val="22"/>
                <w:szCs w:val="22"/>
                <w:lang w:eastAsia="lv-LV"/>
              </w:rPr>
            </w:pPr>
            <w:r w:rsidRPr="00A020FD">
              <w:rPr>
                <w:rFonts w:asciiTheme="majorBidi" w:hAnsiTheme="majorBidi" w:cstheme="majorBidi"/>
                <w:i/>
                <w:iCs/>
                <w:color w:val="000000"/>
                <w:lang w:eastAsia="lv-LV"/>
              </w:rPr>
              <w:t>24315000-5</w:t>
            </w:r>
          </w:p>
        </w:tc>
        <w:tc>
          <w:tcPr>
            <w:tcW w:w="4536" w:type="dxa"/>
            <w:tcBorders>
              <w:top w:val="nil"/>
              <w:left w:val="nil"/>
              <w:bottom w:val="nil"/>
              <w:right w:val="nil"/>
            </w:tcBorders>
            <w:shd w:val="clear" w:color="auto" w:fill="auto"/>
            <w:noWrap/>
            <w:vAlign w:val="bottom"/>
          </w:tcPr>
          <w:p w14:paraId="68677350" w14:textId="3CA17291" w:rsidR="00EA0DCB" w:rsidRPr="00A020FD" w:rsidRDefault="00A020FD" w:rsidP="00EA0DCB">
            <w:pPr>
              <w:suppressAutoHyphens w:val="0"/>
              <w:rPr>
                <w:rFonts w:asciiTheme="majorBidi" w:hAnsiTheme="majorBidi" w:cstheme="majorBidi"/>
                <w:i/>
                <w:iCs/>
                <w:color w:val="000000"/>
                <w:sz w:val="22"/>
                <w:szCs w:val="22"/>
                <w:lang w:eastAsia="lv-LV"/>
              </w:rPr>
            </w:pPr>
            <w:r w:rsidRPr="00A020FD">
              <w:rPr>
                <w:rFonts w:asciiTheme="majorBidi" w:hAnsiTheme="majorBidi" w:cstheme="majorBidi"/>
                <w:i/>
                <w:iCs/>
                <w:color w:val="000000"/>
                <w:lang w:eastAsia="lv-LV"/>
              </w:rPr>
              <w:t>Dažādas neorganiskās ķīmiskās vielas</w:t>
            </w:r>
          </w:p>
        </w:tc>
      </w:tr>
    </w:tbl>
    <w:p w14:paraId="60783D70" w14:textId="799ACE6C" w:rsidR="00A020FD" w:rsidRDefault="00A020FD" w:rsidP="00DB40FE">
      <w:pPr>
        <w:suppressAutoHyphens w:val="0"/>
        <w:rPr>
          <w:rFonts w:asciiTheme="majorBidi" w:hAnsiTheme="majorBidi" w:cstheme="majorBidi"/>
          <w:color w:val="000000"/>
        </w:rPr>
      </w:pPr>
    </w:p>
    <w:p w14:paraId="6A3455BB" w14:textId="3A16FC97" w:rsidR="00216295" w:rsidRPr="006E46A7" w:rsidRDefault="00216295" w:rsidP="00A020FD">
      <w:pPr>
        <w:pStyle w:val="ListParagraph"/>
        <w:numPr>
          <w:ilvl w:val="1"/>
          <w:numId w:val="4"/>
        </w:numPr>
        <w:ind w:left="567" w:hanging="567"/>
        <w:rPr>
          <w:rFonts w:asciiTheme="majorBidi" w:hAnsiTheme="majorBidi" w:cstheme="majorBidi"/>
          <w:lang w:eastAsia="ar-SA"/>
        </w:rPr>
      </w:pPr>
      <w:r w:rsidRPr="006265AE">
        <w:rPr>
          <w:rFonts w:asciiTheme="majorBidi" w:hAnsiTheme="majorBidi" w:cstheme="majorBidi"/>
          <w:b/>
        </w:rPr>
        <w:t>Informācija par iepirkuma priekšmetu</w:t>
      </w:r>
      <w:r w:rsidR="002749C6" w:rsidRPr="006265AE">
        <w:rPr>
          <w:rFonts w:asciiTheme="majorBidi" w:hAnsiTheme="majorBidi" w:cstheme="majorBidi"/>
          <w:b/>
        </w:rPr>
        <w:t xml:space="preserve"> -</w:t>
      </w:r>
      <w:r w:rsidR="002D7252" w:rsidRPr="006265AE">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630D57" w:rsidRPr="00630D57">
        <w:rPr>
          <w:rFonts w:asciiTheme="majorBidi" w:hAnsiTheme="majorBidi" w:cstheme="majorBidi"/>
          <w:color w:val="000000"/>
          <w:spacing w:val="-1"/>
        </w:rPr>
        <w:t>Laboratorijas materiālu un ķimikāliju iegāde dažādu projektu realizēšanai</w:t>
      </w:r>
    </w:p>
    <w:p w14:paraId="2BA2D19F" w14:textId="1AEAE077" w:rsidR="00857232" w:rsidRPr="006E46A7" w:rsidRDefault="00315E1E" w:rsidP="00857232">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b/>
        </w:rPr>
        <w:t>Iepirkum</w:t>
      </w:r>
      <w:r w:rsidR="00B513BF" w:rsidRPr="006E46A7">
        <w:rPr>
          <w:rFonts w:asciiTheme="majorBidi" w:hAnsiTheme="majorBidi" w:cstheme="majorBidi"/>
          <w:b/>
        </w:rPr>
        <w:t>a</w:t>
      </w:r>
      <w:r w:rsidR="007855DD" w:rsidRPr="006E46A7">
        <w:rPr>
          <w:rFonts w:asciiTheme="majorBidi" w:hAnsiTheme="majorBidi" w:cstheme="majorBidi"/>
          <w:b/>
        </w:rPr>
        <w:t xml:space="preserve"> priekšmets</w:t>
      </w:r>
      <w:r w:rsidR="00C61234" w:rsidRPr="006E46A7">
        <w:rPr>
          <w:rFonts w:asciiTheme="majorBidi" w:hAnsiTheme="majorBidi" w:cstheme="majorBidi"/>
          <w:b/>
        </w:rPr>
        <w:t xml:space="preserve"> </w:t>
      </w:r>
      <w:r w:rsidR="00857232" w:rsidRPr="006E46A7">
        <w:rPr>
          <w:rFonts w:asciiTheme="majorBidi" w:hAnsiTheme="majorBidi" w:cstheme="majorBidi"/>
          <w:b/>
        </w:rPr>
        <w:t>ir</w:t>
      </w:r>
      <w:r w:rsidR="00B513BF" w:rsidRPr="006E46A7">
        <w:rPr>
          <w:rFonts w:asciiTheme="majorBidi" w:hAnsiTheme="majorBidi" w:cstheme="majorBidi"/>
          <w:b/>
        </w:rPr>
        <w:t xml:space="preserve"> </w:t>
      </w:r>
      <w:r w:rsidR="00682878" w:rsidRPr="006E46A7">
        <w:rPr>
          <w:rFonts w:asciiTheme="majorBidi" w:hAnsiTheme="majorBidi" w:cstheme="majorBidi"/>
          <w:b/>
        </w:rPr>
        <w:t xml:space="preserve">sadalīts </w:t>
      </w:r>
      <w:r w:rsidR="00B513BF" w:rsidRPr="006E46A7">
        <w:rPr>
          <w:rFonts w:asciiTheme="majorBidi" w:hAnsiTheme="majorBidi" w:cstheme="majorBidi"/>
          <w:b/>
        </w:rPr>
        <w:t>daļās</w:t>
      </w:r>
      <w:r w:rsidR="00857232" w:rsidRPr="006E46A7">
        <w:rPr>
          <w:rFonts w:asciiTheme="majorBidi" w:hAnsiTheme="majorBidi" w:cstheme="majorBidi"/>
          <w:b/>
        </w:rPr>
        <w:t>:</w:t>
      </w:r>
    </w:p>
    <w:p w14:paraId="7CA379C1" w14:textId="0E564B32" w:rsidR="00857232" w:rsidRPr="006E46A7" w:rsidRDefault="00857232" w:rsidP="00615D8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w:t>
      </w:r>
      <w:r w:rsidR="00615D8E">
        <w:rPr>
          <w:rFonts w:asciiTheme="majorBidi" w:hAnsiTheme="majorBidi" w:cstheme="majorBidi"/>
          <w:color w:val="000000"/>
        </w:rPr>
        <w:t xml:space="preserve">Ķimikālijas </w:t>
      </w:r>
    </w:p>
    <w:p w14:paraId="26AD7DBF" w14:textId="06AD3507" w:rsidR="002A02C3" w:rsidRPr="006E46A7" w:rsidRDefault="002A02C3" w:rsidP="00630D57">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008D4EA7" w:rsidRPr="006E46A7">
        <w:rPr>
          <w:rFonts w:asciiTheme="majorBidi" w:hAnsiTheme="majorBidi" w:cstheme="majorBidi"/>
          <w:color w:val="000000"/>
        </w:rPr>
        <w:t>2</w:t>
      </w:r>
      <w:r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630D57">
        <w:rPr>
          <w:rFonts w:asciiTheme="majorBidi" w:hAnsiTheme="majorBidi" w:cstheme="majorBidi"/>
          <w:color w:val="000000"/>
        </w:rPr>
        <w:t>Litogrāfija</w:t>
      </w:r>
    </w:p>
    <w:p w14:paraId="6DF53077" w14:textId="20F51D02" w:rsidR="00DB40FE" w:rsidRPr="00615D8E" w:rsidRDefault="00DB40FE" w:rsidP="00630D57">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3. daļa </w:t>
      </w:r>
      <w:r w:rsidR="00622D67" w:rsidRPr="006E46A7">
        <w:rPr>
          <w:rFonts w:asciiTheme="majorBidi" w:hAnsiTheme="majorBidi" w:cstheme="majorBidi"/>
          <w:color w:val="000000"/>
        </w:rPr>
        <w:t>–</w:t>
      </w:r>
      <w:r w:rsidR="006E46A7" w:rsidRPr="006E46A7">
        <w:rPr>
          <w:rFonts w:asciiTheme="majorBidi" w:hAnsiTheme="majorBidi" w:cstheme="majorBidi"/>
          <w:color w:val="000000"/>
        </w:rPr>
        <w:t xml:space="preserve"> </w:t>
      </w:r>
      <w:proofErr w:type="spellStart"/>
      <w:r w:rsidR="00630D57">
        <w:rPr>
          <w:rFonts w:asciiTheme="majorBidi" w:hAnsiTheme="majorBidi" w:cstheme="majorBidi"/>
          <w:color w:val="000000"/>
        </w:rPr>
        <w:t>Mikrofluidika</w:t>
      </w:r>
      <w:proofErr w:type="spellEnd"/>
    </w:p>
    <w:p w14:paraId="566FEE60" w14:textId="54EE3CE4" w:rsidR="00EA0DCB" w:rsidRPr="00615D8E" w:rsidRDefault="00EF5BB7" w:rsidP="00630D57">
      <w:pPr>
        <w:numPr>
          <w:ilvl w:val="2"/>
          <w:numId w:val="4"/>
        </w:numPr>
        <w:suppressAutoHyphens w:val="0"/>
        <w:jc w:val="both"/>
        <w:rPr>
          <w:rFonts w:asciiTheme="majorBidi" w:hAnsiTheme="majorBidi" w:cstheme="majorBidi"/>
          <w:sz w:val="22"/>
          <w:szCs w:val="22"/>
        </w:rPr>
      </w:pPr>
      <w:r w:rsidRPr="00615D8E">
        <w:rPr>
          <w:rFonts w:asciiTheme="majorBidi" w:hAnsiTheme="majorBidi" w:cstheme="majorBidi"/>
          <w:sz w:val="22"/>
          <w:szCs w:val="22"/>
        </w:rPr>
        <w:t xml:space="preserve">Iepirkuma </w:t>
      </w:r>
      <w:r w:rsidR="00F160E1" w:rsidRPr="00615D8E">
        <w:rPr>
          <w:rFonts w:asciiTheme="majorBidi" w:hAnsiTheme="majorBidi" w:cstheme="majorBidi"/>
          <w:sz w:val="22"/>
          <w:szCs w:val="22"/>
        </w:rPr>
        <w:t>līguma ietvaros preču pasūtījumu apmaksa</w:t>
      </w:r>
      <w:r w:rsidR="00C44012" w:rsidRPr="00615D8E">
        <w:rPr>
          <w:rFonts w:asciiTheme="majorBidi" w:hAnsiTheme="majorBidi" w:cstheme="majorBidi"/>
          <w:sz w:val="22"/>
          <w:szCs w:val="22"/>
        </w:rPr>
        <w:t xml:space="preserve"> tiks veikta</w:t>
      </w:r>
      <w:r w:rsidR="00AA266C" w:rsidRPr="00615D8E">
        <w:rPr>
          <w:rFonts w:asciiTheme="majorBidi" w:hAnsiTheme="majorBidi" w:cstheme="majorBidi"/>
          <w:sz w:val="22"/>
          <w:szCs w:val="22"/>
        </w:rPr>
        <w:t xml:space="preserve"> no </w:t>
      </w:r>
      <w:r w:rsidR="006265AE" w:rsidRPr="00615D8E">
        <w:rPr>
          <w:rFonts w:asciiTheme="majorBidi" w:hAnsiTheme="majorBidi" w:cstheme="majorBidi"/>
          <w:sz w:val="22"/>
          <w:szCs w:val="22"/>
        </w:rPr>
        <w:t xml:space="preserve">šādiem projektiem: </w:t>
      </w:r>
      <w:r w:rsidR="00630D57">
        <w:rPr>
          <w:rFonts w:asciiTheme="majorBidi" w:hAnsiTheme="majorBidi" w:cstheme="majorBidi"/>
          <w:sz w:val="22"/>
          <w:szCs w:val="22"/>
        </w:rPr>
        <w:t>LIAA “</w:t>
      </w:r>
      <w:r w:rsidR="00630D57" w:rsidRPr="00630D57">
        <w:rPr>
          <w:rFonts w:asciiTheme="majorBidi" w:hAnsiTheme="majorBidi" w:cstheme="majorBidi"/>
          <w:sz w:val="22"/>
          <w:szCs w:val="22"/>
        </w:rPr>
        <w:t xml:space="preserve">Hologrāfiskā ieraksta materiālu izstrāde uz </w:t>
      </w:r>
      <w:proofErr w:type="spellStart"/>
      <w:r w:rsidR="00630D57" w:rsidRPr="00630D57">
        <w:rPr>
          <w:rFonts w:asciiTheme="majorBidi" w:hAnsiTheme="majorBidi" w:cstheme="majorBidi"/>
          <w:sz w:val="22"/>
          <w:szCs w:val="22"/>
        </w:rPr>
        <w:t>azo</w:t>
      </w:r>
      <w:proofErr w:type="spellEnd"/>
      <w:r w:rsidR="00630D57" w:rsidRPr="00630D57">
        <w:rPr>
          <w:rFonts w:asciiTheme="majorBidi" w:hAnsiTheme="majorBidi" w:cstheme="majorBidi"/>
          <w:sz w:val="22"/>
          <w:szCs w:val="22"/>
        </w:rPr>
        <w:t xml:space="preserve">-benzola un </w:t>
      </w:r>
      <w:proofErr w:type="spellStart"/>
      <w:r w:rsidR="00630D57" w:rsidRPr="00630D57">
        <w:rPr>
          <w:rFonts w:asciiTheme="majorBidi" w:hAnsiTheme="majorBidi" w:cstheme="majorBidi"/>
          <w:sz w:val="22"/>
          <w:szCs w:val="22"/>
        </w:rPr>
        <w:t>epoksīda</w:t>
      </w:r>
      <w:proofErr w:type="spellEnd"/>
      <w:r w:rsidR="00630D57" w:rsidRPr="00630D57">
        <w:rPr>
          <w:rFonts w:asciiTheme="majorBidi" w:hAnsiTheme="majorBidi" w:cstheme="majorBidi"/>
          <w:sz w:val="22"/>
          <w:szCs w:val="22"/>
        </w:rPr>
        <w:t xml:space="preserve"> savienojumu bāzes</w:t>
      </w:r>
      <w:r w:rsidR="00630D57">
        <w:rPr>
          <w:rFonts w:asciiTheme="majorBidi" w:hAnsiTheme="majorBidi" w:cstheme="majorBidi"/>
          <w:sz w:val="22"/>
          <w:szCs w:val="22"/>
        </w:rPr>
        <w:t>”</w:t>
      </w:r>
      <w:r w:rsidR="00630D57" w:rsidRPr="00630D57">
        <w:rPr>
          <w:rFonts w:asciiTheme="majorBidi" w:hAnsiTheme="majorBidi" w:cstheme="majorBidi"/>
          <w:sz w:val="22"/>
          <w:szCs w:val="22"/>
        </w:rPr>
        <w:t xml:space="preserve"> (KC-PI-2020/26)</w:t>
      </w:r>
      <w:r w:rsidR="00630D57">
        <w:rPr>
          <w:rFonts w:asciiTheme="majorBidi" w:hAnsiTheme="majorBidi" w:cstheme="majorBidi"/>
          <w:sz w:val="22"/>
          <w:szCs w:val="22"/>
        </w:rPr>
        <w:t xml:space="preserve"> </w:t>
      </w:r>
      <w:r w:rsidR="00EA0DCB" w:rsidRPr="00615D8E">
        <w:rPr>
          <w:rFonts w:asciiTheme="majorBidi" w:hAnsiTheme="majorBidi" w:cstheme="majorBidi"/>
          <w:sz w:val="22"/>
          <w:szCs w:val="22"/>
        </w:rPr>
        <w:t>un citi</w:t>
      </w:r>
      <w:r w:rsidR="00630D57">
        <w:rPr>
          <w:rFonts w:asciiTheme="majorBidi" w:hAnsiTheme="majorBidi" w:cstheme="majorBidi"/>
          <w:sz w:val="22"/>
          <w:szCs w:val="22"/>
        </w:rPr>
        <w:t>em</w:t>
      </w:r>
      <w:r w:rsidR="00EA0DCB" w:rsidRPr="00615D8E">
        <w:rPr>
          <w:rFonts w:asciiTheme="majorBidi" w:hAnsiTheme="majorBidi" w:cstheme="majorBidi"/>
          <w:sz w:val="22"/>
          <w:szCs w:val="22"/>
        </w:rPr>
        <w:t xml:space="preserve"> finanšu avoti</w:t>
      </w:r>
      <w:r w:rsidR="00630D57">
        <w:rPr>
          <w:rFonts w:asciiTheme="majorBidi" w:hAnsiTheme="majorBidi" w:cstheme="majorBidi"/>
          <w:sz w:val="22"/>
          <w:szCs w:val="22"/>
        </w:rPr>
        <w:t>em</w:t>
      </w:r>
      <w:r w:rsidR="00EA0DCB" w:rsidRPr="00615D8E">
        <w:rPr>
          <w:rFonts w:asciiTheme="majorBidi" w:hAnsiTheme="majorBidi" w:cstheme="majorBidi"/>
          <w:sz w:val="22"/>
          <w:szCs w:val="22"/>
        </w:rPr>
        <w:t>.</w:t>
      </w:r>
    </w:p>
    <w:p w14:paraId="58A66D1F" w14:textId="24291EC1" w:rsidR="007B26C4" w:rsidRPr="006265AE" w:rsidRDefault="007B5DB4" w:rsidP="00630D57">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r w:rsidR="00630D57" w:rsidRPr="00630D57">
        <w:rPr>
          <w:rFonts w:asciiTheme="majorBidi" w:hAnsiTheme="majorBidi" w:cstheme="majorBidi"/>
          <w:bCs/>
          <w:color w:val="002060"/>
        </w:rPr>
        <w:t>1.daļa</w:t>
      </w:r>
      <w:r w:rsidR="00A020FD">
        <w:rPr>
          <w:rFonts w:asciiTheme="majorBidi" w:hAnsiTheme="majorBidi" w:cstheme="majorBidi"/>
          <w:bCs/>
          <w:color w:val="002060"/>
        </w:rPr>
        <w:t xml:space="preserve"> </w:t>
      </w:r>
      <w:r w:rsidR="00A020FD">
        <w:rPr>
          <w:rFonts w:asciiTheme="majorBidi" w:hAnsiTheme="majorBidi" w:cstheme="majorBidi"/>
          <w:color w:val="17365D" w:themeColor="text2" w:themeShade="BF"/>
        </w:rPr>
        <w:t>–</w:t>
      </w:r>
      <w:r w:rsidR="00A020FD">
        <w:rPr>
          <w:rFonts w:asciiTheme="majorBidi" w:hAnsiTheme="majorBidi" w:cstheme="majorBidi"/>
          <w:color w:val="17365D" w:themeColor="text2" w:themeShade="BF"/>
        </w:rPr>
        <w:t xml:space="preserve"> </w:t>
      </w:r>
      <w:bookmarkStart w:id="0" w:name="_GoBack"/>
      <w:bookmarkEnd w:id="0"/>
      <w:r w:rsidR="00615D8E" w:rsidRPr="00630D57">
        <w:rPr>
          <w:rFonts w:asciiTheme="majorBidi" w:hAnsiTheme="majorBidi" w:cstheme="majorBidi"/>
          <w:color w:val="002060"/>
        </w:rPr>
        <w:t>20</w:t>
      </w:r>
      <w:r w:rsidR="007725E6" w:rsidRPr="00630D57">
        <w:rPr>
          <w:rFonts w:asciiTheme="majorBidi" w:hAnsiTheme="majorBidi" w:cstheme="majorBidi"/>
          <w:color w:val="002060"/>
        </w:rPr>
        <w:t xml:space="preserve"> </w:t>
      </w:r>
      <w:r w:rsidR="007725E6">
        <w:rPr>
          <w:rFonts w:asciiTheme="majorBidi" w:hAnsiTheme="majorBidi" w:cstheme="majorBidi"/>
          <w:color w:val="17365D" w:themeColor="text2" w:themeShade="BF"/>
        </w:rPr>
        <w:t>(</w:t>
      </w:r>
      <w:r w:rsidR="00615D8E">
        <w:rPr>
          <w:rFonts w:asciiTheme="majorBidi" w:hAnsiTheme="majorBidi" w:cstheme="majorBidi"/>
          <w:color w:val="17365D" w:themeColor="text2" w:themeShade="BF"/>
        </w:rPr>
        <w:t>divdesmit</w:t>
      </w:r>
      <w:r w:rsidR="007725E6">
        <w:rPr>
          <w:rFonts w:asciiTheme="majorBidi" w:hAnsiTheme="majorBidi" w:cstheme="majorBidi"/>
          <w:color w:val="17365D" w:themeColor="text2" w:themeShade="BF"/>
        </w:rPr>
        <w:t xml:space="preserve">) </w:t>
      </w:r>
      <w:r w:rsidR="00615D8E">
        <w:rPr>
          <w:rFonts w:asciiTheme="majorBidi" w:hAnsiTheme="majorBidi" w:cstheme="majorBidi"/>
          <w:color w:val="17365D" w:themeColor="text2" w:themeShade="BF"/>
        </w:rPr>
        <w:t>dienu</w:t>
      </w:r>
      <w:r w:rsidR="007725E6">
        <w:rPr>
          <w:rFonts w:asciiTheme="majorBidi" w:hAnsiTheme="majorBidi" w:cstheme="majorBidi"/>
          <w:color w:val="17365D" w:themeColor="text2" w:themeShade="BF"/>
        </w:rPr>
        <w:t xml:space="preserve"> laikā </w:t>
      </w:r>
      <w:r w:rsidR="007725E6" w:rsidRPr="006265AE">
        <w:rPr>
          <w:rFonts w:asciiTheme="majorBidi" w:hAnsiTheme="majorBidi" w:cstheme="majorBidi"/>
          <w:color w:val="17365D" w:themeColor="text2" w:themeShade="BF"/>
        </w:rPr>
        <w:t>no preču pasūtīšanas brīža</w:t>
      </w:r>
      <w:r w:rsidR="00630D57">
        <w:rPr>
          <w:rFonts w:asciiTheme="majorBidi" w:hAnsiTheme="majorBidi" w:cstheme="majorBidi"/>
          <w:color w:val="17365D" w:themeColor="text2" w:themeShade="BF"/>
        </w:rPr>
        <w:t xml:space="preserve">; 2.daļa – 6 nedēļu laikā </w:t>
      </w:r>
      <w:r w:rsidR="00630D57">
        <w:rPr>
          <w:rFonts w:asciiTheme="majorBidi" w:hAnsiTheme="majorBidi" w:cstheme="majorBidi"/>
          <w:color w:val="17365D" w:themeColor="text2" w:themeShade="BF"/>
        </w:rPr>
        <w:t xml:space="preserve">dienu laikā </w:t>
      </w:r>
      <w:r w:rsidR="00630D57" w:rsidRPr="006265AE">
        <w:rPr>
          <w:rFonts w:asciiTheme="majorBidi" w:hAnsiTheme="majorBidi" w:cstheme="majorBidi"/>
          <w:color w:val="17365D" w:themeColor="text2" w:themeShade="BF"/>
        </w:rPr>
        <w:t>no preču pasūtīšanas brīža</w:t>
      </w:r>
      <w:r w:rsidR="00630D57">
        <w:rPr>
          <w:rFonts w:asciiTheme="majorBidi" w:hAnsiTheme="majorBidi" w:cstheme="majorBidi"/>
          <w:color w:val="17365D" w:themeColor="text2" w:themeShade="BF"/>
        </w:rPr>
        <w:t xml:space="preserve">; 3.daļa – 4 nedēļu </w:t>
      </w:r>
      <w:r w:rsidR="00630D57">
        <w:rPr>
          <w:rFonts w:asciiTheme="majorBidi" w:hAnsiTheme="majorBidi" w:cstheme="majorBidi"/>
          <w:color w:val="17365D" w:themeColor="text2" w:themeShade="BF"/>
        </w:rPr>
        <w:t xml:space="preserve">dienu laikā </w:t>
      </w:r>
      <w:r w:rsidR="00630D57" w:rsidRPr="006265AE">
        <w:rPr>
          <w:rFonts w:asciiTheme="majorBidi" w:hAnsiTheme="majorBidi" w:cstheme="majorBidi"/>
          <w:color w:val="17365D" w:themeColor="text2" w:themeShade="BF"/>
        </w:rPr>
        <w:t>no preču pasūtīšanas brīža</w:t>
      </w:r>
      <w:r w:rsidR="007725E6">
        <w:rPr>
          <w:rFonts w:asciiTheme="majorBidi" w:hAnsiTheme="majorBidi" w:cstheme="majorBidi"/>
          <w:color w:val="17365D" w:themeColor="text2" w:themeShade="BF"/>
        </w:rPr>
        <w:t>.</w:t>
      </w:r>
      <w:r w:rsidR="00630D57">
        <w:rPr>
          <w:rFonts w:asciiTheme="majorBidi" w:hAnsiTheme="majorBidi" w:cstheme="majorBidi"/>
          <w:color w:val="17365D" w:themeColor="text2" w:themeShade="BF"/>
        </w:rPr>
        <w:t xml:space="preserve"> </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5BB319E4"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r w:rsidR="00630D57">
        <w:rPr>
          <w:rFonts w:asciiTheme="majorBidi" w:hAnsiTheme="majorBidi" w:cstheme="majorBidi"/>
          <w:color w:val="17365D" w:themeColor="text2" w:themeShade="BF"/>
        </w:rPr>
        <w:t>Līgums spēkā 12 mēnešus.</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w:t>
      </w:r>
      <w:r w:rsidRPr="006265AE">
        <w:rPr>
          <w:rFonts w:asciiTheme="majorBidi" w:hAnsiTheme="majorBidi" w:cstheme="majorBidi"/>
          <w:lang w:eastAsia="ar-SA"/>
        </w:rPr>
        <w:lastRenderedPageBreak/>
        <w:t xml:space="preserve">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178D5939" w:rsidR="00670CE1" w:rsidRPr="00913C98" w:rsidRDefault="00670CE1" w:rsidP="00630D57">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9"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w:t>
      </w:r>
      <w:r w:rsidR="00EA0DCB">
        <w:rPr>
          <w:rFonts w:asciiTheme="majorBidi" w:hAnsiTheme="majorBidi" w:cstheme="majorBidi"/>
          <w:b/>
        </w:rPr>
        <w:t>1</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630D57">
        <w:rPr>
          <w:rFonts w:asciiTheme="majorBidi" w:hAnsiTheme="majorBidi" w:cstheme="majorBidi"/>
          <w:b/>
        </w:rPr>
        <w:t>12</w:t>
      </w:r>
      <w:r w:rsidR="00B64C27" w:rsidRPr="00E51EE4">
        <w:rPr>
          <w:rFonts w:asciiTheme="majorBidi" w:hAnsiTheme="majorBidi" w:cstheme="majorBidi"/>
          <w:b/>
        </w:rPr>
        <w:t>.</w:t>
      </w:r>
      <w:r w:rsidR="00630D57">
        <w:rPr>
          <w:rFonts w:asciiTheme="majorBidi" w:hAnsiTheme="majorBidi" w:cstheme="majorBidi"/>
          <w:b/>
        </w:rPr>
        <w:t>aprīlim</w:t>
      </w:r>
      <w:r w:rsidR="00003116" w:rsidRPr="00E51EE4">
        <w:rPr>
          <w:rFonts w:asciiTheme="majorBidi" w:hAnsiTheme="majorBidi" w:cstheme="majorBidi"/>
        </w:rPr>
        <w:t xml:space="preserve">, </w:t>
      </w:r>
      <w:r w:rsidR="00FC36E4" w:rsidRPr="00E51EE4">
        <w:rPr>
          <w:rFonts w:asciiTheme="majorBidi" w:hAnsiTheme="majorBidi" w:cstheme="majorBidi"/>
          <w:b/>
        </w:rPr>
        <w:t>plkst. 11</w:t>
      </w:r>
      <w:r w:rsidR="0093583B" w:rsidRPr="00E51EE4">
        <w:rPr>
          <w:rFonts w:asciiTheme="majorBidi" w:hAnsiTheme="majorBidi" w:cstheme="majorBidi"/>
          <w:b/>
        </w:rPr>
        <w:t>:00</w:t>
      </w:r>
      <w:r w:rsidR="00003116" w:rsidRPr="00E51EE4">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0"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76AC2CB4" w:rsidR="009449E8" w:rsidRPr="006265AE" w:rsidRDefault="009449E8" w:rsidP="00630D57">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630D57">
        <w:rPr>
          <w:rFonts w:asciiTheme="majorBidi" w:hAnsiTheme="majorBidi" w:cstheme="majorBidi"/>
          <w:b/>
        </w:rPr>
        <w:t>12.aprīlim</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1FE31277" w:rsidR="009449E8" w:rsidRPr="006265AE" w:rsidRDefault="009449E8" w:rsidP="00630D57">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630D57">
        <w:rPr>
          <w:rFonts w:asciiTheme="majorBidi" w:hAnsiTheme="majorBidi" w:cstheme="majorBidi"/>
          <w:b/>
        </w:rPr>
        <w:t>12</w:t>
      </w:r>
      <w:r w:rsidR="00913C98">
        <w:rPr>
          <w:rFonts w:asciiTheme="majorBidi" w:hAnsiTheme="majorBidi" w:cstheme="majorBidi"/>
          <w:b/>
        </w:rPr>
        <w:t>.</w:t>
      </w:r>
      <w:r w:rsidR="00630D57">
        <w:rPr>
          <w:rFonts w:asciiTheme="majorBidi" w:hAnsiTheme="majorBidi" w:cstheme="majorBidi"/>
          <w:b/>
        </w:rPr>
        <w:t xml:space="preserve">aprīlī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lastRenderedPageBreak/>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1"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2" w:name="_Toc236214774"/>
      <w:r w:rsidRPr="006265AE">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6265AE" w14:paraId="32885A55" w14:textId="77777777" w:rsidTr="00B41620">
        <w:tc>
          <w:tcPr>
            <w:tcW w:w="3397"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6265AE" w:rsidRDefault="000D706D" w:rsidP="000A0B6F">
            <w:pPr>
              <w:contextualSpacing/>
              <w:jc w:val="both"/>
              <w:rPr>
                <w:sz w:val="22"/>
                <w:szCs w:val="22"/>
              </w:rPr>
            </w:pPr>
            <w:r w:rsidRPr="006265AE">
              <w:rPr>
                <w:sz w:val="22"/>
                <w:szCs w:val="22"/>
              </w:rPr>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B41620">
        <w:tc>
          <w:tcPr>
            <w:tcW w:w="3397" w:type="dxa"/>
          </w:tcPr>
          <w:p w14:paraId="33FE2CFF" w14:textId="77777777" w:rsidR="000D706D" w:rsidRPr="006265AE" w:rsidRDefault="000D706D" w:rsidP="000A0B6F">
            <w:pPr>
              <w:contextualSpacing/>
              <w:jc w:val="both"/>
              <w:rPr>
                <w:bCs/>
                <w:sz w:val="22"/>
                <w:szCs w:val="22"/>
              </w:rPr>
            </w:pPr>
            <w:r w:rsidRPr="006265AE">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6265AE" w:rsidRDefault="000D706D" w:rsidP="000A0B6F">
            <w:pPr>
              <w:contextualSpacing/>
              <w:jc w:val="both"/>
              <w:rPr>
                <w:sz w:val="22"/>
                <w:szCs w:val="22"/>
              </w:rPr>
            </w:pPr>
            <w:r w:rsidRPr="006265AE">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w:t>
            </w:r>
            <w:r w:rsidRPr="006265AE">
              <w:rPr>
                <w:sz w:val="22"/>
                <w:szCs w:val="22"/>
              </w:rPr>
              <w:lastRenderedPageBreak/>
              <w:t>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lastRenderedPageBreak/>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1"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Eiropas Komisijas mājaslapā tiešsaistes režīmā: </w:t>
      </w:r>
      <w:hyperlink r:id="rId12"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6265AE" w:rsidRDefault="000D706D" w:rsidP="000D706D">
      <w:pPr>
        <w:spacing w:before="120"/>
        <w:jc w:val="both"/>
        <w:rPr>
          <w:iCs/>
          <w:sz w:val="22"/>
          <w:szCs w:val="22"/>
        </w:rPr>
      </w:pPr>
      <w:r w:rsidRPr="006265AE">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6265AE" w:rsidRDefault="000D706D" w:rsidP="000D706D">
      <w:pPr>
        <w:spacing w:before="120"/>
        <w:jc w:val="both"/>
        <w:rPr>
          <w:iCs/>
          <w:sz w:val="22"/>
          <w:szCs w:val="22"/>
        </w:rPr>
      </w:pPr>
      <w:r w:rsidRPr="006265AE">
        <w:rPr>
          <w:iCs/>
          <w:sz w:val="22"/>
          <w:szCs w:val="22"/>
        </w:rPr>
        <w:t xml:space="preserve">3.7.3.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 xml:space="preserve">jāiekļauj visas izmaksas, kas attiecas un ir saistītas ar iepirkuma līguma izpildi, tajā skaitā visi ar Preču piegādes veikšanu saistītie izdevumi, arī </w:t>
      </w:r>
      <w:r w:rsidRPr="006265AE">
        <w:rPr>
          <w:sz w:val="22"/>
          <w:szCs w:val="22"/>
        </w:rPr>
        <w:lastRenderedPageBreak/>
        <w:t>transporta izdevumi un visi Latvijas Republikas normatīvajos aktos paredzētie nodokļi, izņemot PVN (pievienotās vērtības nodoklis).</w:t>
      </w:r>
    </w:p>
    <w:p w14:paraId="45DC0BAC" w14:textId="77777777" w:rsidR="000D706D" w:rsidRPr="006265AE" w:rsidRDefault="000D706D" w:rsidP="000D706D">
      <w:pPr>
        <w:spacing w:before="120"/>
        <w:jc w:val="both"/>
        <w:rPr>
          <w:sz w:val="22"/>
          <w:szCs w:val="22"/>
        </w:rPr>
      </w:pPr>
      <w:r w:rsidRPr="006265AE">
        <w:rPr>
          <w:iCs/>
          <w:sz w:val="22"/>
          <w:szCs w:val="22"/>
        </w:rPr>
        <w:t xml:space="preserve">3.7.4.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w:t>
      </w:r>
      <w:r w:rsidR="00E51EE4">
        <w:rPr>
          <w:sz w:val="22"/>
          <w:szCs w:val="22"/>
        </w:rPr>
        <w:t>s nacionālo sankciju likuma 11. </w:t>
      </w:r>
      <w:r w:rsidRPr="006265AE">
        <w:rPr>
          <w:sz w:val="22"/>
          <w:szCs w:val="22"/>
        </w:rPr>
        <w:t>'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2"/>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1"/>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Pasūtītājs ir tiesīgs pārtraukt iepirkumu visu vai kādā no daļām un neslēgt 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w:t>
      </w:r>
      <w:r w:rsidRPr="006265AE">
        <w:rPr>
          <w:bCs/>
          <w:iCs/>
          <w:sz w:val="22"/>
          <w:szCs w:val="22"/>
        </w:rPr>
        <w:lastRenderedPageBreak/>
        <w:t xml:space="preserve">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3" w:name="_Toc42401996"/>
      <w:r w:rsidRPr="006265AE">
        <w:rPr>
          <w:rFonts w:ascii="Times New Roman" w:hAnsi="Times New Roman" w:cs="Times New Roman"/>
          <w:sz w:val="22"/>
          <w:szCs w:val="22"/>
        </w:rPr>
        <w:t>V. KOMISIJAS TIESĪBAS UN PIENĀKUMI</w:t>
      </w:r>
      <w:bookmarkEnd w:id="3"/>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3"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4" w:name="_Toc42401997"/>
      <w:r w:rsidRPr="006265AE">
        <w:rPr>
          <w:b/>
          <w:bCs/>
          <w:sz w:val="22"/>
          <w:szCs w:val="22"/>
        </w:rPr>
        <w:t>VI. PRETENDENTU TIESĪBAS UN PIENĀKUMI</w:t>
      </w:r>
      <w:bookmarkEnd w:id="4"/>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lastRenderedPageBreak/>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5" w:name="_Toc42401998"/>
      <w:r w:rsidRPr="006265AE">
        <w:rPr>
          <w:rFonts w:ascii="Times New Roman" w:hAnsi="Times New Roman" w:cs="Times New Roman"/>
          <w:sz w:val="22"/>
          <w:szCs w:val="22"/>
        </w:rPr>
        <w:t>VII. LĪGUMA NOSACĪJUMI</w:t>
      </w:r>
      <w:bookmarkEnd w:id="5"/>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025B8CC2" w:rsidR="00C91748" w:rsidRPr="006265AE" w:rsidRDefault="00C91748" w:rsidP="000D706D">
      <w:pPr>
        <w:numPr>
          <w:ilvl w:val="0"/>
          <w:numId w:val="12"/>
        </w:numPr>
        <w:suppressAutoHyphens w:val="0"/>
        <w:rPr>
          <w:sz w:val="22"/>
          <w:szCs w:val="22"/>
        </w:rPr>
      </w:pPr>
      <w:r w:rsidRPr="006265AE">
        <w:rPr>
          <w:sz w:val="22"/>
          <w:szCs w:val="22"/>
        </w:rPr>
        <w:t>Tehniskā specifikācija</w:t>
      </w:r>
      <w:r w:rsidR="007C5C2D">
        <w:rPr>
          <w:sz w:val="22"/>
          <w:szCs w:val="22"/>
        </w:rPr>
        <w:t xml:space="preserve"> (forma)</w:t>
      </w:r>
      <w:r w:rsidRPr="006265AE">
        <w:rPr>
          <w:sz w:val="22"/>
          <w:szCs w:val="22"/>
        </w:rPr>
        <w:t>.</w:t>
      </w:r>
    </w:p>
    <w:p w14:paraId="4362DE8D" w14:textId="3F08D23C"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w:t>
      </w:r>
      <w:r w:rsidR="007C5C2D">
        <w:rPr>
          <w:sz w:val="22"/>
          <w:szCs w:val="22"/>
        </w:rPr>
        <w:t>(</w:t>
      </w:r>
      <w:r w:rsidRPr="006265AE">
        <w:rPr>
          <w:sz w:val="22"/>
          <w:szCs w:val="22"/>
        </w:rPr>
        <w:t>forma</w:t>
      </w:r>
      <w:r w:rsidR="007C5C2D">
        <w:rPr>
          <w:sz w:val="22"/>
          <w:szCs w:val="22"/>
        </w:rPr>
        <w:t>)</w:t>
      </w:r>
      <w:r w:rsidRPr="006265AE">
        <w:rPr>
          <w:sz w:val="22"/>
          <w:szCs w:val="22"/>
        </w:rPr>
        <w:t>.</w:t>
      </w:r>
    </w:p>
    <w:p w14:paraId="097A9CA3" w14:textId="7D9690C1" w:rsidR="000D706D" w:rsidRPr="006265AE" w:rsidRDefault="000D706D" w:rsidP="000D706D">
      <w:pPr>
        <w:numPr>
          <w:ilvl w:val="0"/>
          <w:numId w:val="12"/>
        </w:numPr>
        <w:suppressAutoHyphens w:val="0"/>
        <w:rPr>
          <w:sz w:val="22"/>
          <w:szCs w:val="22"/>
        </w:rPr>
      </w:pPr>
      <w:r w:rsidRPr="006265AE">
        <w:rPr>
          <w:sz w:val="22"/>
          <w:szCs w:val="22"/>
        </w:rPr>
        <w:t>Līgums (projekts).</w:t>
      </w:r>
    </w:p>
    <w:sectPr w:rsidR="000D706D" w:rsidRPr="006265AE"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5190" w14:textId="77777777" w:rsidR="00CE4D4A" w:rsidRDefault="00CE4D4A">
      <w:r>
        <w:separator/>
      </w:r>
    </w:p>
  </w:endnote>
  <w:endnote w:type="continuationSeparator" w:id="0">
    <w:p w14:paraId="67F9A164" w14:textId="77777777" w:rsidR="00CE4D4A" w:rsidRDefault="00CE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392B8AB"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A020FD">
              <w:rPr>
                <w:b/>
                <w:bCs/>
                <w:noProof/>
              </w:rPr>
              <w:t>5</w:t>
            </w:r>
            <w:r>
              <w:rPr>
                <w:b/>
                <w:bCs/>
              </w:rPr>
              <w:fldChar w:fldCharType="end"/>
            </w:r>
            <w:r>
              <w:t xml:space="preserve"> no </w:t>
            </w:r>
            <w:r>
              <w:rPr>
                <w:b/>
                <w:bCs/>
              </w:rPr>
              <w:fldChar w:fldCharType="begin"/>
            </w:r>
            <w:r>
              <w:rPr>
                <w:b/>
                <w:bCs/>
              </w:rPr>
              <w:instrText xml:space="preserve"> NUMPAGES  </w:instrText>
            </w:r>
            <w:r>
              <w:rPr>
                <w:b/>
                <w:bCs/>
              </w:rPr>
              <w:fldChar w:fldCharType="separate"/>
            </w:r>
            <w:r w:rsidR="00A020FD">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C7E8" w14:textId="77777777" w:rsidR="00CE4D4A" w:rsidRDefault="00CE4D4A">
      <w:r>
        <w:separator/>
      </w:r>
    </w:p>
  </w:footnote>
  <w:footnote w:type="continuationSeparator" w:id="0">
    <w:p w14:paraId="7E2CFBCD" w14:textId="77777777" w:rsidR="00CE4D4A" w:rsidRDefault="00CE4D4A">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8FE1-23E1-4472-950D-E8E99AF4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15729</Words>
  <Characters>8967</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24647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22</cp:revision>
  <cp:lastPrinted>2018-10-10T08:02:00Z</cp:lastPrinted>
  <dcterms:created xsi:type="dcterms:W3CDTF">2020-11-04T06:41:00Z</dcterms:created>
  <dcterms:modified xsi:type="dcterms:W3CDTF">2021-03-29T10:20:00Z</dcterms:modified>
</cp:coreProperties>
</file>