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B861299"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Pr="0058753E">
        <w:rPr>
          <w:rFonts w:ascii="Geneva" w:hAnsi="Geneva"/>
          <w:sz w:val="18"/>
          <w:szCs w:val="18"/>
          <w:lang w:val="lv-LV"/>
        </w:rPr>
        <w:t>24.janvāra</w:t>
      </w:r>
    </w:p>
    <w:p w14:paraId="2548567A"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LU CFI iepirkumu komisijas sēdē</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ListParagraph"/>
        <w:ind w:left="0"/>
        <w:jc w:val="center"/>
        <w:rPr>
          <w:rFonts w:ascii="Geneva" w:hAnsi="Geneva" w:cs="Arial"/>
          <w:b/>
          <w:bCs/>
          <w:sz w:val="18"/>
          <w:szCs w:val="18"/>
          <w:lang w:val="lv-LV"/>
        </w:rPr>
      </w:pPr>
    </w:p>
    <w:p w14:paraId="59CC258F" w14:textId="77777777" w:rsidR="00B04C47" w:rsidRPr="002C675F" w:rsidRDefault="00B04C47" w:rsidP="00B04C47">
      <w:pPr>
        <w:pStyle w:val="ListParagraph"/>
        <w:ind w:left="0"/>
        <w:jc w:val="center"/>
        <w:rPr>
          <w:rFonts w:ascii="Geneva" w:hAnsi="Geneva" w:cs="Arial"/>
          <w:b/>
          <w:bCs/>
          <w:sz w:val="18"/>
          <w:szCs w:val="18"/>
          <w:lang w:val="lv-LV"/>
        </w:rPr>
      </w:pPr>
      <w:r w:rsidRPr="002C675F">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2C675F" w:rsidRDefault="006B6D70" w:rsidP="00566A30">
      <w:pPr>
        <w:jc w:val="center"/>
        <w:rPr>
          <w:rFonts w:ascii="Geneva" w:hAnsi="Geneva" w:cs="Arial"/>
          <w:sz w:val="18"/>
          <w:szCs w:val="18"/>
          <w:lang w:val="lv-LV"/>
        </w:rPr>
      </w:pPr>
    </w:p>
    <w:p w14:paraId="6F6503F7" w14:textId="77777777" w:rsidR="00566A30" w:rsidRPr="00F0557B" w:rsidRDefault="00566A30" w:rsidP="00566A30">
      <w:pPr>
        <w:jc w:val="center"/>
        <w:rPr>
          <w:rFonts w:ascii="Geneva" w:hAnsi="Geneva" w:cs="Arial"/>
          <w:sz w:val="18"/>
          <w:szCs w:val="18"/>
          <w:lang w:val="lv-LV"/>
        </w:rPr>
      </w:pPr>
      <w:r w:rsidRPr="00F0557B">
        <w:rPr>
          <w:rFonts w:ascii="Geneva" w:hAnsi="Geneva" w:cs="Arial"/>
          <w:sz w:val="18"/>
          <w:szCs w:val="18"/>
          <w:lang w:val="lv-LV"/>
        </w:rPr>
        <w:t>ATKLĀTA KONKURSA</w:t>
      </w:r>
    </w:p>
    <w:p w14:paraId="1155FE77" w14:textId="6E87CF61" w:rsidR="00566A30" w:rsidRPr="00F0557B" w:rsidRDefault="00566A30" w:rsidP="00566A30">
      <w:pPr>
        <w:jc w:val="center"/>
        <w:rPr>
          <w:rFonts w:ascii="Geneva" w:hAnsi="Geneva" w:cs="Arial"/>
          <w:b/>
          <w:caps/>
          <w:color w:val="4F81BD" w:themeColor="accent1"/>
          <w:sz w:val="18"/>
          <w:szCs w:val="18"/>
        </w:rPr>
      </w:pPr>
      <w:r w:rsidRPr="00F0557B">
        <w:rPr>
          <w:rFonts w:ascii="Geneva" w:hAnsi="Geneva" w:cs="Arial"/>
          <w:b/>
          <w:caps/>
          <w:color w:val="4F81BD" w:themeColor="accent1"/>
          <w:sz w:val="18"/>
          <w:szCs w:val="18"/>
          <w:lang w:val="lv-LV"/>
        </w:rPr>
        <w:t>“</w:t>
      </w:r>
      <w:bookmarkStart w:id="0" w:name="_GoBack"/>
      <w:proofErr w:type="spellStart"/>
      <w:r w:rsidR="00F0557B" w:rsidRPr="00F0557B">
        <w:rPr>
          <w:rFonts w:ascii="Geneva" w:hAnsi="Geneva"/>
          <w:b/>
          <w:color w:val="4F81BD" w:themeColor="accent1"/>
          <w:sz w:val="18"/>
          <w:szCs w:val="18"/>
        </w:rPr>
        <w:t>Izostatiskās</w:t>
      </w:r>
      <w:proofErr w:type="spellEnd"/>
      <w:r w:rsidR="00F0557B" w:rsidRPr="00F0557B">
        <w:rPr>
          <w:rFonts w:ascii="Geneva" w:hAnsi="Geneva"/>
          <w:b/>
          <w:color w:val="4F81BD" w:themeColor="accent1"/>
          <w:sz w:val="18"/>
          <w:szCs w:val="18"/>
        </w:rPr>
        <w:t xml:space="preserve"> </w:t>
      </w:r>
      <w:proofErr w:type="spellStart"/>
      <w:r w:rsidR="00F0557B" w:rsidRPr="00F0557B">
        <w:rPr>
          <w:rFonts w:ascii="Geneva" w:hAnsi="Geneva"/>
          <w:b/>
          <w:color w:val="4F81BD" w:themeColor="accent1"/>
          <w:sz w:val="18"/>
          <w:szCs w:val="18"/>
        </w:rPr>
        <w:t>presēšanas</w:t>
      </w:r>
      <w:proofErr w:type="spellEnd"/>
      <w:r w:rsidR="00F0557B" w:rsidRPr="00F0557B">
        <w:rPr>
          <w:rFonts w:ascii="Geneva" w:hAnsi="Geneva"/>
          <w:b/>
          <w:color w:val="4F81BD" w:themeColor="accent1"/>
          <w:sz w:val="18"/>
          <w:szCs w:val="18"/>
        </w:rPr>
        <w:t xml:space="preserve"> </w:t>
      </w:r>
      <w:proofErr w:type="spellStart"/>
      <w:r w:rsidR="00F0557B" w:rsidRPr="00F0557B">
        <w:rPr>
          <w:rFonts w:ascii="Geneva" w:hAnsi="Geneva"/>
          <w:b/>
          <w:color w:val="4F81BD" w:themeColor="accent1"/>
          <w:sz w:val="18"/>
          <w:szCs w:val="18"/>
        </w:rPr>
        <w:t>iekārtas</w:t>
      </w:r>
      <w:proofErr w:type="spellEnd"/>
      <w:r w:rsidR="00F0557B" w:rsidRPr="00F0557B">
        <w:rPr>
          <w:rFonts w:ascii="Geneva" w:hAnsi="Geneva"/>
          <w:b/>
          <w:color w:val="4F81BD" w:themeColor="accent1"/>
          <w:sz w:val="18"/>
          <w:szCs w:val="18"/>
        </w:rPr>
        <w:t xml:space="preserve"> </w:t>
      </w:r>
      <w:proofErr w:type="spellStart"/>
      <w:r w:rsidR="00F0557B" w:rsidRPr="00F0557B">
        <w:rPr>
          <w:rFonts w:ascii="Geneva" w:hAnsi="Geneva"/>
          <w:b/>
          <w:color w:val="4F81BD" w:themeColor="accent1"/>
          <w:sz w:val="18"/>
          <w:szCs w:val="18"/>
        </w:rPr>
        <w:t>piegāde</w:t>
      </w:r>
      <w:bookmarkEnd w:id="0"/>
      <w:proofErr w:type="spellEnd"/>
      <w:r w:rsidRPr="00F0557B">
        <w:rPr>
          <w:rFonts w:ascii="Geneva" w:hAnsi="Geneva" w:cs="Arial"/>
          <w:b/>
          <w:caps/>
          <w:color w:val="4F81BD" w:themeColor="accent1"/>
          <w:sz w:val="18"/>
          <w:szCs w:val="18"/>
        </w:rPr>
        <w:t>”</w:t>
      </w:r>
    </w:p>
    <w:p w14:paraId="1738EA47" w14:textId="77777777" w:rsidR="00566A30" w:rsidRPr="00F0557B" w:rsidRDefault="00566A30" w:rsidP="00566A30">
      <w:pPr>
        <w:jc w:val="center"/>
        <w:rPr>
          <w:rFonts w:ascii="Geneva" w:hAnsi="Geneva" w:cs="Arial"/>
          <w:sz w:val="18"/>
          <w:szCs w:val="18"/>
          <w:lang w:val="lv-LV"/>
        </w:rPr>
      </w:pPr>
      <w:r w:rsidRPr="00F0557B">
        <w:rPr>
          <w:rFonts w:ascii="Geneva" w:hAnsi="Geneva" w:cs="Arial"/>
          <w:sz w:val="18"/>
          <w:szCs w:val="18"/>
          <w:lang w:val="lv-LV"/>
        </w:rPr>
        <w:t>NOLIKUMS</w:t>
      </w:r>
    </w:p>
    <w:p w14:paraId="0F9937D1" w14:textId="77777777" w:rsidR="00566A30" w:rsidRPr="00F0557B" w:rsidRDefault="00566A30" w:rsidP="00566A30">
      <w:pPr>
        <w:jc w:val="center"/>
        <w:rPr>
          <w:rFonts w:ascii="Geneva" w:hAnsi="Geneva" w:cs="Arial"/>
          <w:b/>
          <w:caps/>
          <w:sz w:val="18"/>
          <w:szCs w:val="18"/>
        </w:rPr>
      </w:pPr>
    </w:p>
    <w:p w14:paraId="64D26C14" w14:textId="77777777" w:rsidR="00566A30" w:rsidRPr="00F0557B" w:rsidRDefault="00566A30" w:rsidP="00566A30">
      <w:pPr>
        <w:jc w:val="center"/>
        <w:rPr>
          <w:rFonts w:ascii="Geneva" w:hAnsi="Geneva" w:cs="Arial"/>
          <w:b/>
          <w:caps/>
          <w:sz w:val="18"/>
          <w:szCs w:val="18"/>
        </w:rPr>
      </w:pPr>
    </w:p>
    <w:p w14:paraId="20087301" w14:textId="77777777" w:rsidR="00566A30" w:rsidRPr="00F0557B" w:rsidRDefault="00566A30" w:rsidP="00566A30">
      <w:pPr>
        <w:jc w:val="center"/>
        <w:rPr>
          <w:rFonts w:ascii="Geneva" w:hAnsi="Geneva" w:cs="Arial"/>
          <w:color w:val="4F81BD" w:themeColor="accent1"/>
          <w:sz w:val="18"/>
          <w:szCs w:val="18"/>
          <w:lang w:val="lv-LV"/>
        </w:rPr>
      </w:pPr>
      <w:r w:rsidRPr="00F0557B">
        <w:rPr>
          <w:rFonts w:ascii="Geneva" w:hAnsi="Geneva" w:cs="Arial"/>
          <w:color w:val="4F81BD" w:themeColor="accent1"/>
          <w:sz w:val="18"/>
          <w:szCs w:val="18"/>
          <w:lang w:val="lv-LV"/>
        </w:rPr>
        <w:t>OPEN TENDER</w:t>
      </w:r>
    </w:p>
    <w:p w14:paraId="7F30A123" w14:textId="29A79CF5" w:rsidR="00566A30" w:rsidRPr="00F0557B" w:rsidRDefault="00566A30" w:rsidP="00566A30">
      <w:pPr>
        <w:jc w:val="center"/>
        <w:rPr>
          <w:rFonts w:ascii="Geneva" w:hAnsi="Geneva" w:cs="Arial"/>
          <w:b/>
          <w:color w:val="4F81BD" w:themeColor="accent1"/>
          <w:sz w:val="18"/>
          <w:szCs w:val="18"/>
          <w:lang w:val="lv-LV"/>
        </w:rPr>
      </w:pPr>
      <w:r w:rsidRPr="00F0557B">
        <w:rPr>
          <w:rFonts w:ascii="Geneva" w:hAnsi="Geneva" w:cs="Arial"/>
          <w:b/>
          <w:color w:val="4F81BD" w:themeColor="accent1"/>
          <w:sz w:val="18"/>
          <w:szCs w:val="18"/>
          <w:lang w:val="lv-LV"/>
        </w:rPr>
        <w:t>“</w:t>
      </w:r>
      <w:r w:rsidR="009F0841" w:rsidRPr="00F0557B">
        <w:rPr>
          <w:rFonts w:ascii="Geneva" w:hAnsi="Geneva"/>
          <w:b/>
          <w:color w:val="4F81BD" w:themeColor="accent1"/>
          <w:sz w:val="18"/>
          <w:szCs w:val="18"/>
        </w:rPr>
        <w:t xml:space="preserve">Supply of the </w:t>
      </w:r>
      <w:proofErr w:type="spellStart"/>
      <w:r w:rsidR="00F0557B" w:rsidRPr="00556D28">
        <w:rPr>
          <w:rFonts w:ascii="Geneva" w:hAnsi="Geneva" w:cs="Times New Roman"/>
          <w:b/>
          <w:color w:val="4F81BD" w:themeColor="accent1"/>
          <w:sz w:val="18"/>
          <w:szCs w:val="18"/>
        </w:rPr>
        <w:t>i</w:t>
      </w:r>
      <w:r w:rsidR="00F0557B" w:rsidRPr="00556D28">
        <w:rPr>
          <w:rFonts w:ascii="Geneva" w:hAnsi="Geneva" w:cs="Times New Roman"/>
          <w:b/>
          <w:color w:val="4F81BD" w:themeColor="accent1"/>
          <w:sz w:val="18"/>
          <w:szCs w:val="18"/>
        </w:rPr>
        <w:t>sostatic</w:t>
      </w:r>
      <w:proofErr w:type="spellEnd"/>
      <w:r w:rsidR="00F0557B" w:rsidRPr="00556D28">
        <w:rPr>
          <w:rFonts w:ascii="Geneva" w:hAnsi="Geneva" w:cs="Times New Roman"/>
          <w:b/>
          <w:color w:val="4F81BD" w:themeColor="accent1"/>
          <w:sz w:val="18"/>
          <w:szCs w:val="18"/>
        </w:rPr>
        <w:t xml:space="preserve"> hot press</w:t>
      </w:r>
      <w:r w:rsidRPr="00F0557B">
        <w:rPr>
          <w:rFonts w:ascii="Geneva" w:hAnsi="Geneva" w:cs="Arial"/>
          <w:b/>
          <w:color w:val="4F81BD" w:themeColor="accent1"/>
          <w:sz w:val="18"/>
          <w:szCs w:val="18"/>
          <w:lang w:val="lv-LV"/>
        </w:rPr>
        <w:t>”</w:t>
      </w:r>
    </w:p>
    <w:p w14:paraId="1604342A" w14:textId="3A51FAB6" w:rsidR="00566A30" w:rsidRPr="00F0557B" w:rsidRDefault="00566A30" w:rsidP="00566A30">
      <w:pPr>
        <w:jc w:val="center"/>
        <w:rPr>
          <w:rFonts w:ascii="Geneva" w:hAnsi="Geneva" w:cs="Arial"/>
          <w:color w:val="4F81BD" w:themeColor="accent1"/>
          <w:sz w:val="18"/>
          <w:szCs w:val="18"/>
          <w:lang w:val="lv-LV"/>
        </w:rPr>
      </w:pPr>
      <w:r w:rsidRPr="00F0557B">
        <w:rPr>
          <w:rFonts w:ascii="Geneva" w:hAnsi="Geneva" w:cs="Arial"/>
          <w:color w:val="4F81BD" w:themeColor="accent1"/>
          <w:sz w:val="18"/>
          <w:szCs w:val="18"/>
          <w:lang w:val="lv-LV"/>
        </w:rPr>
        <w:t>TENDER REGULATIONS</w:t>
      </w:r>
    </w:p>
    <w:p w14:paraId="1931A4F3" w14:textId="77777777" w:rsidR="006B6D70" w:rsidRPr="00F0557B" w:rsidRDefault="006B6D70" w:rsidP="00B00CE2">
      <w:pPr>
        <w:rPr>
          <w:rFonts w:ascii="Geneva" w:hAnsi="Geneva" w:cs="Arial"/>
          <w:sz w:val="18"/>
          <w:szCs w:val="18"/>
          <w:lang w:val="lv-LV"/>
        </w:rPr>
      </w:pPr>
    </w:p>
    <w:p w14:paraId="2091BCEB" w14:textId="77777777" w:rsidR="006B6D70" w:rsidRPr="00F0557B"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2C5A12E7"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sidR="00F0557B">
        <w:rPr>
          <w:rFonts w:ascii="Geneva" w:hAnsi="Geneva" w:cs="Arial"/>
          <w:sz w:val="18"/>
          <w:szCs w:val="18"/>
          <w:lang w:val="lv-LV"/>
        </w:rPr>
        <w:t>4</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413DE971"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F0557B">
              <w:rPr>
                <w:rFonts w:ascii="Geneva" w:hAnsi="Geneva" w:cs="Arial"/>
                <w:color w:val="548DD4" w:themeColor="text2" w:themeTint="99"/>
                <w:sz w:val="18"/>
                <w:szCs w:val="18"/>
                <w:lang w:val="lv-LV"/>
              </w:rPr>
              <w:t>LU CFI 2019/4</w:t>
            </w:r>
            <w:r w:rsidR="009F0841">
              <w:rPr>
                <w:rFonts w:ascii="Geneva" w:hAnsi="Geneva" w:cs="Arial"/>
                <w:color w:val="548DD4" w:themeColor="text2" w:themeTint="99"/>
                <w:sz w:val="18"/>
                <w:szCs w:val="18"/>
                <w:lang w:val="lv-LV"/>
              </w:rPr>
              <w:t>/</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7E50B678" w:rsidR="00B00CE2" w:rsidRPr="00F0557B"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F0557B">
              <w:rPr>
                <w:rFonts w:ascii="Geneva" w:hAnsi="Geneva" w:cs="Arial"/>
                <w:color w:val="4F81BD" w:themeColor="accent1"/>
                <w:spacing w:val="-1"/>
                <w:sz w:val="18"/>
                <w:szCs w:val="18"/>
                <w:lang w:val="lv-LV"/>
              </w:rPr>
              <w:t xml:space="preserve">konkurss </w:t>
            </w:r>
            <w:r w:rsidRPr="00F0557B">
              <w:rPr>
                <w:rFonts w:ascii="Tahoma" w:hAnsi="Tahoma" w:cs="Tahoma"/>
                <w:color w:val="4F81BD" w:themeColor="accent1"/>
                <w:spacing w:val="-1"/>
                <w:sz w:val="18"/>
                <w:szCs w:val="18"/>
                <w:lang w:val="lv-LV"/>
              </w:rPr>
              <w:t>“</w:t>
            </w:r>
            <w:proofErr w:type="spellStart"/>
            <w:r w:rsidR="00F0557B" w:rsidRPr="00F0557B">
              <w:rPr>
                <w:rFonts w:ascii="Geneva" w:hAnsi="Geneva"/>
                <w:color w:val="4F81BD" w:themeColor="accent1"/>
                <w:sz w:val="18"/>
                <w:szCs w:val="18"/>
              </w:rPr>
              <w:t>Izostatiskās</w:t>
            </w:r>
            <w:proofErr w:type="spellEnd"/>
            <w:r w:rsidR="00F0557B" w:rsidRPr="00F0557B">
              <w:rPr>
                <w:rFonts w:ascii="Geneva" w:hAnsi="Geneva"/>
                <w:color w:val="4F81BD" w:themeColor="accent1"/>
                <w:sz w:val="18"/>
                <w:szCs w:val="18"/>
              </w:rPr>
              <w:t xml:space="preserve"> </w:t>
            </w:r>
            <w:proofErr w:type="spellStart"/>
            <w:r w:rsidR="00F0557B" w:rsidRPr="00F0557B">
              <w:rPr>
                <w:rFonts w:ascii="Geneva" w:hAnsi="Geneva"/>
                <w:color w:val="4F81BD" w:themeColor="accent1"/>
                <w:sz w:val="18"/>
                <w:szCs w:val="18"/>
              </w:rPr>
              <w:t>presēšanas</w:t>
            </w:r>
            <w:proofErr w:type="spellEnd"/>
            <w:r w:rsidR="00F0557B" w:rsidRPr="00F0557B">
              <w:rPr>
                <w:rFonts w:ascii="Geneva" w:hAnsi="Geneva"/>
                <w:color w:val="4F81BD" w:themeColor="accent1"/>
                <w:sz w:val="18"/>
                <w:szCs w:val="18"/>
              </w:rPr>
              <w:t xml:space="preserve"> </w:t>
            </w:r>
            <w:proofErr w:type="spellStart"/>
            <w:r w:rsidR="00F0557B" w:rsidRPr="00F0557B">
              <w:rPr>
                <w:rFonts w:ascii="Geneva" w:hAnsi="Geneva"/>
                <w:color w:val="4F81BD" w:themeColor="accent1"/>
                <w:sz w:val="18"/>
                <w:szCs w:val="18"/>
              </w:rPr>
              <w:t>iekārtas</w:t>
            </w:r>
            <w:proofErr w:type="spellEnd"/>
            <w:r w:rsidR="00F0557B" w:rsidRPr="00F0557B">
              <w:rPr>
                <w:rFonts w:ascii="Geneva" w:hAnsi="Geneva"/>
                <w:color w:val="4F81BD" w:themeColor="accent1"/>
                <w:sz w:val="18"/>
                <w:szCs w:val="18"/>
              </w:rPr>
              <w:t xml:space="preserve"> </w:t>
            </w:r>
            <w:proofErr w:type="spellStart"/>
            <w:r w:rsidR="00F0557B" w:rsidRPr="00F0557B">
              <w:rPr>
                <w:rFonts w:ascii="Geneva" w:hAnsi="Geneva"/>
                <w:color w:val="4F81BD" w:themeColor="accent1"/>
                <w:sz w:val="18"/>
                <w:szCs w:val="18"/>
              </w:rPr>
              <w:t>piegāde</w:t>
            </w:r>
            <w:proofErr w:type="spellEnd"/>
            <w:r w:rsidRPr="00F0557B">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A1D6319" w:rsidR="00B00CE2" w:rsidRPr="0058753E" w:rsidRDefault="00B00CE2" w:rsidP="00B00CE2">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58753E">
              <w:rPr>
                <w:rFonts w:ascii="Geneva" w:hAnsi="Geneva" w:cs="Arial"/>
                <w:color w:val="548DD4" w:themeColor="text2" w:themeTint="99"/>
                <w:spacing w:val="-1"/>
                <w:sz w:val="18"/>
                <w:szCs w:val="18"/>
                <w:lang w:val="lv-LV"/>
              </w:rPr>
              <w:t>27.11.2017. rīkojumu nr.15</w:t>
            </w:r>
            <w:r w:rsidRPr="0058753E">
              <w:rPr>
                <w:rFonts w:ascii="Geneva" w:hAnsi="Geneva" w:cs="Arial"/>
                <w:color w:val="548DD4" w:themeColor="text2" w:themeTint="99"/>
                <w:spacing w:val="-1"/>
                <w:sz w:val="18"/>
                <w:szCs w:val="18"/>
                <w:lang w:val="lv-LV"/>
              </w:rPr>
              <w:t>-v</w:t>
            </w:r>
            <w:r w:rsidRPr="0058753E">
              <w:rPr>
                <w:rFonts w:ascii="Geneva" w:hAnsi="Geneva" w:cs="Arial"/>
                <w:color w:val="000000"/>
                <w:spacing w:val="-4"/>
                <w:sz w:val="18"/>
                <w:szCs w:val="18"/>
                <w:lang w:val="lv-LV"/>
              </w:rPr>
              <w:t>.</w:t>
            </w:r>
          </w:p>
          <w:p w14:paraId="492F4B81" w14:textId="5D8A770E" w:rsidR="00B00CE2" w:rsidRPr="009F0841"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58753E">
              <w:rPr>
                <w:rFonts w:ascii="Geneva" w:hAnsi="Geneva" w:cs="Arial"/>
                <w:color w:val="000000"/>
                <w:spacing w:val="-1"/>
                <w:sz w:val="18"/>
                <w:szCs w:val="18"/>
                <w:lang w:val="lv-LV"/>
              </w:rPr>
              <w:t>Galvenais CPV kods</w:t>
            </w:r>
            <w:r w:rsidRPr="0058753E">
              <w:rPr>
                <w:rFonts w:ascii="Geneva" w:hAnsi="Geneva" w:cs="Arial"/>
                <w:color w:val="4F81BD" w:themeColor="accent1"/>
                <w:spacing w:val="-1"/>
                <w:sz w:val="18"/>
                <w:szCs w:val="18"/>
                <w:lang w:val="lv-LV"/>
              </w:rPr>
              <w:t xml:space="preserve">: </w:t>
            </w:r>
            <w:r w:rsidR="009F0841" w:rsidRPr="009F0841">
              <w:rPr>
                <w:rFonts w:ascii="Geneva" w:hAnsi="Geneva" w:cs="Times New Roman"/>
                <w:color w:val="000000"/>
                <w:sz w:val="18"/>
                <w:szCs w:val="18"/>
              </w:rPr>
              <w:t xml:space="preserve">42300000-9 </w:t>
            </w:r>
            <w:proofErr w:type="spellStart"/>
            <w:r w:rsidR="009F0841" w:rsidRPr="009F0841">
              <w:rPr>
                <w:rFonts w:ascii="Geneva" w:hAnsi="Geneva" w:cs="Times New Roman"/>
                <w:color w:val="000000"/>
                <w:sz w:val="18"/>
                <w:szCs w:val="18"/>
              </w:rPr>
              <w:t>Rūpnīcu</w:t>
            </w:r>
            <w:proofErr w:type="spellEnd"/>
            <w:r w:rsidR="009F0841" w:rsidRPr="009F0841">
              <w:rPr>
                <w:rFonts w:ascii="Geneva" w:hAnsi="Geneva" w:cs="Times New Roman"/>
                <w:color w:val="000000"/>
                <w:sz w:val="18"/>
                <w:szCs w:val="18"/>
              </w:rPr>
              <w:t xml:space="preserve"> </w:t>
            </w:r>
            <w:proofErr w:type="spellStart"/>
            <w:r w:rsidR="009F0841" w:rsidRPr="009F0841">
              <w:rPr>
                <w:rFonts w:ascii="Geneva" w:hAnsi="Geneva" w:cs="Times New Roman"/>
                <w:color w:val="000000"/>
                <w:sz w:val="18"/>
                <w:szCs w:val="18"/>
              </w:rPr>
              <w:t>vai</w:t>
            </w:r>
            <w:proofErr w:type="spellEnd"/>
            <w:r w:rsidR="009F0841" w:rsidRPr="009F0841">
              <w:rPr>
                <w:rFonts w:ascii="Geneva" w:hAnsi="Geneva" w:cs="Times New Roman"/>
                <w:color w:val="000000"/>
                <w:sz w:val="18"/>
                <w:szCs w:val="18"/>
              </w:rPr>
              <w:t xml:space="preserve"> </w:t>
            </w:r>
            <w:proofErr w:type="spellStart"/>
            <w:r w:rsidR="009F0841" w:rsidRPr="009F0841">
              <w:rPr>
                <w:rFonts w:ascii="Geneva" w:hAnsi="Geneva" w:cs="Times New Roman"/>
                <w:color w:val="000000"/>
                <w:sz w:val="18"/>
                <w:szCs w:val="18"/>
              </w:rPr>
              <w:t>laboratoriju</w:t>
            </w:r>
            <w:proofErr w:type="spellEnd"/>
            <w:r w:rsidR="009F0841" w:rsidRPr="009F0841">
              <w:rPr>
                <w:rFonts w:ascii="Geneva" w:hAnsi="Geneva" w:cs="Times New Roman"/>
                <w:color w:val="000000"/>
                <w:sz w:val="18"/>
                <w:szCs w:val="18"/>
              </w:rPr>
              <w:t xml:space="preserve"> </w:t>
            </w:r>
            <w:proofErr w:type="spellStart"/>
            <w:r w:rsidR="009F0841" w:rsidRPr="009F0841">
              <w:rPr>
                <w:rFonts w:ascii="Geneva" w:hAnsi="Geneva" w:cs="Times New Roman"/>
                <w:color w:val="000000"/>
                <w:sz w:val="18"/>
                <w:szCs w:val="18"/>
              </w:rPr>
              <w:t>krāsnis</w:t>
            </w:r>
            <w:proofErr w:type="spellEnd"/>
            <w:r w:rsidR="009F0841" w:rsidRPr="009F0841">
              <w:rPr>
                <w:rFonts w:ascii="Geneva" w:hAnsi="Geneva" w:cs="Times New Roman"/>
                <w:color w:val="000000"/>
                <w:sz w:val="18"/>
                <w:szCs w:val="18"/>
              </w:rPr>
              <w:t xml:space="preserve">, </w:t>
            </w:r>
            <w:proofErr w:type="spellStart"/>
            <w:r w:rsidR="009F0841" w:rsidRPr="009F0841">
              <w:rPr>
                <w:rFonts w:ascii="Geneva" w:hAnsi="Geneva" w:cs="Times New Roman"/>
                <w:color w:val="000000"/>
                <w:sz w:val="18"/>
                <w:szCs w:val="18"/>
              </w:rPr>
              <w:t>dedzinātavas</w:t>
            </w:r>
            <w:proofErr w:type="spellEnd"/>
            <w:r w:rsidR="009F0841" w:rsidRPr="009F0841">
              <w:rPr>
                <w:rFonts w:ascii="Geneva" w:hAnsi="Geneva" w:cs="Times New Roman"/>
                <w:color w:val="000000"/>
                <w:sz w:val="18"/>
                <w:szCs w:val="18"/>
              </w:rPr>
              <w:t xml:space="preserve"> un </w:t>
            </w:r>
            <w:proofErr w:type="spellStart"/>
            <w:r w:rsidR="009F0841" w:rsidRPr="009F0841">
              <w:rPr>
                <w:rFonts w:ascii="Geneva" w:hAnsi="Geneva" w:cs="Times New Roman"/>
                <w:color w:val="000000"/>
                <w:sz w:val="18"/>
                <w:szCs w:val="18"/>
              </w:rPr>
              <w:t>cepeškrāsnis</w:t>
            </w:r>
            <w:proofErr w:type="spellEnd"/>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564EE223"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F0557B">
              <w:rPr>
                <w:rFonts w:ascii="Geneva" w:hAnsi="Geneva" w:cs="Arial"/>
                <w:color w:val="548DD4" w:themeColor="text2" w:themeTint="99"/>
                <w:sz w:val="18"/>
                <w:szCs w:val="18"/>
                <w:lang w:val="lv-LV"/>
              </w:rPr>
              <w:t>ne vēlāk kā 13 (trīspadsmit</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77777777"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norēķinu kārtība ir noteikta iepirkuma Līguma 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 xml:space="preserve">Piegādātājam jāiesniedz piedāvājums par visu iepirkuma </w:t>
            </w:r>
            <w:r w:rsidRPr="0058753E">
              <w:rPr>
                <w:rFonts w:ascii="Geneva" w:hAnsi="Geneva" w:cs="Arial"/>
                <w:b/>
                <w:sz w:val="18"/>
                <w:szCs w:val="18"/>
                <w:lang w:val="lv-LV"/>
              </w:rPr>
              <w:lastRenderedPageBreak/>
              <w:t>priekšmetu.</w:t>
            </w:r>
            <w:r w:rsidR="0062281C" w:rsidRPr="0058753E">
              <w:rPr>
                <w:rFonts w:ascii="Geneva" w:hAnsi="Geneva" w:cs="Arial"/>
                <w:b/>
                <w:sz w:val="18"/>
                <w:szCs w:val="18"/>
                <w:lang w:val="lv-LV"/>
              </w:rPr>
              <w:t xml:space="preserve"> </w:t>
            </w:r>
            <w:proofErr w:type="spellStart"/>
            <w:r w:rsidR="0062281C" w:rsidRPr="0058753E">
              <w:rPr>
                <w:rFonts w:ascii="Geneva" w:hAnsi="Geneva"/>
                <w:sz w:val="18"/>
                <w:szCs w:val="18"/>
              </w:rPr>
              <w:t>Piegādātājs</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iesniegt</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vienu</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piedāvājuma</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variantu</w:t>
            </w:r>
            <w:proofErr w:type="spellEnd"/>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Pr="0058753E" w:rsidRDefault="00B00CE2" w:rsidP="00B00CE2">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kritērijs: </w:t>
            </w:r>
            <w:r w:rsidRPr="0058753E">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58753E" w:rsidRDefault="00561E64" w:rsidP="00561E64">
            <w:pPr>
              <w:pStyle w:val="ListParagraph"/>
              <w:numPr>
                <w:ilvl w:val="2"/>
                <w:numId w:val="16"/>
              </w:numPr>
              <w:tabs>
                <w:tab w:val="left" w:pos="567"/>
              </w:tabs>
              <w:jc w:val="both"/>
              <w:rPr>
                <w:rFonts w:ascii="Geneva" w:hAnsi="Geneva"/>
                <w:sz w:val="18"/>
                <w:szCs w:val="18"/>
              </w:rPr>
            </w:pPr>
            <w:proofErr w:type="spellStart"/>
            <w:r w:rsidRPr="0058753E">
              <w:rPr>
                <w:rFonts w:ascii="Geneva" w:hAnsi="Geneva"/>
                <w:sz w:val="18"/>
                <w:szCs w:val="18"/>
                <w:lang w:eastAsia="lv-LV"/>
              </w:rPr>
              <w:t>Ja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pirms</w:t>
            </w:r>
            <w:proofErr w:type="spellEnd"/>
            <w:r w:rsidRPr="0058753E">
              <w:rPr>
                <w:rFonts w:ascii="Geneva" w:hAnsi="Geneva"/>
                <w:sz w:val="18"/>
                <w:szCs w:val="18"/>
                <w:lang w:eastAsia="lv-LV"/>
              </w:rPr>
              <w:t xml:space="preserve"> tam, </w:t>
            </w:r>
            <w:proofErr w:type="spellStart"/>
            <w:r w:rsidRPr="0058753E">
              <w:rPr>
                <w:rFonts w:ascii="Geneva" w:hAnsi="Geneva"/>
                <w:sz w:val="18"/>
                <w:szCs w:val="18"/>
                <w:lang w:eastAsia="lv-LV"/>
              </w:rPr>
              <w:t>kad</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pieņems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lēmumu</w:t>
            </w:r>
            <w:proofErr w:type="spellEnd"/>
            <w:r w:rsidRPr="0058753E">
              <w:rPr>
                <w:rFonts w:ascii="Geneva" w:hAnsi="Geneva"/>
                <w:sz w:val="18"/>
                <w:szCs w:val="18"/>
                <w:lang w:eastAsia="lv-LV"/>
              </w:rPr>
              <w:t xml:space="preserve"> par </w:t>
            </w:r>
            <w:proofErr w:type="spellStart"/>
            <w:r w:rsidRPr="0058753E">
              <w:rPr>
                <w:rFonts w:ascii="Geneva" w:hAnsi="Geneva"/>
                <w:sz w:val="18"/>
                <w:szCs w:val="18"/>
                <w:lang w:eastAsia="lv-LV"/>
              </w:rPr>
              <w:t>iepirkuma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līguma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slēgšanas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tiesību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piešķiršanu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tiks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konstatēs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Pretendentu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novērtējums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atbilstoši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izvēles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kritērijam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vienāds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Pasūtītājs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kā</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izšķirošo</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izvēles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kritēriju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piemēros</w:t>
            </w:r>
            <w:proofErr w:type="spellEnd"/>
            <w:r w:rsidRPr="0058753E">
              <w:rPr>
                <w:rFonts w:ascii="Geneva" w:hAnsi="Geneva"/>
                <w:sz w:val="18"/>
                <w:szCs w:val="18"/>
                <w:lang w:eastAsia="lv-LV"/>
              </w:rPr>
              <w:t xml:space="preserve"> to, </w:t>
            </w:r>
            <w:proofErr w:type="spellStart"/>
            <w:r w:rsidRPr="0058753E">
              <w:rPr>
                <w:rFonts w:ascii="Geneva" w:hAnsi="Geneva"/>
                <w:sz w:val="18"/>
                <w:szCs w:val="18"/>
                <w:lang w:eastAsia="lv-LV"/>
              </w:rPr>
              <w:t>ka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izvēlēto</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iesniedzis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Pretendents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nacionāla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līmeņa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darba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devēju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organizācijas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biedrs</w:t>
            </w:r>
            <w:proofErr w:type="spellEnd"/>
            <w:r w:rsidRPr="0058753E">
              <w:rPr>
                <w:rFonts w:ascii="Geneva" w:hAnsi="Geneva"/>
                <w:sz w:val="18"/>
                <w:szCs w:val="18"/>
                <w:lang w:eastAsia="lv-LV"/>
              </w:rPr>
              <w:t xml:space="preserve"> un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noslēdzis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koplīgumu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arodbiedrību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nacionāla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līmeņa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arodbiedrības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biedre</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ja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iesniegusi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personālsabiedrība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vai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apvienība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koplīgumam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jābūt</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noslēgtam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katru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personālsabiedrības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biedru</w:t>
            </w:r>
            <w:proofErr w:type="spellEnd"/>
            <w:r w:rsidRPr="0058753E">
              <w:rPr>
                <w:rFonts w:ascii="Geneva" w:hAnsi="Geneva"/>
                <w:sz w:val="18"/>
                <w:szCs w:val="18"/>
                <w:lang w:eastAsia="lv-LV"/>
              </w:rPr>
              <w:t xml:space="preserve"> un </w:t>
            </w:r>
            <w:proofErr w:type="spellStart"/>
            <w:r w:rsidRPr="0058753E">
              <w:rPr>
                <w:rFonts w:ascii="Geneva" w:hAnsi="Geneva"/>
                <w:sz w:val="18"/>
                <w:szCs w:val="18"/>
                <w:lang w:eastAsia="lv-LV"/>
              </w:rPr>
              <w:t>katru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apvienības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dalībnieku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Gadījumā</w:t>
            </w:r>
            <w:proofErr w:type="spellEnd"/>
            <w:r w:rsidRPr="0058753E">
              <w:rPr>
                <w:rFonts w:ascii="Geneva" w:hAnsi="Geneva"/>
                <w:sz w:val="18"/>
                <w:szCs w:val="18"/>
                <w:lang w:eastAsia="lv-LV"/>
              </w:rPr>
              <w:t xml:space="preserve">, </w:t>
            </w:r>
            <w:proofErr w:type="spellStart"/>
            <w:proofErr w:type="gramStart"/>
            <w:r w:rsidRPr="0058753E">
              <w:rPr>
                <w:rFonts w:ascii="Geneva" w:hAnsi="Geneva"/>
                <w:sz w:val="18"/>
                <w:szCs w:val="18"/>
                <w:lang w:eastAsia="lv-LV"/>
              </w:rPr>
              <w:t>ja</w:t>
            </w:r>
            <w:proofErr w:type="spellEnd"/>
            <w:proofErr w:type="gramEnd"/>
            <w:r w:rsidRPr="0058753E">
              <w:rPr>
                <w:rFonts w:ascii="Geneva" w:hAnsi="Geneva"/>
                <w:sz w:val="18"/>
                <w:szCs w:val="18"/>
                <w:lang w:eastAsia="lv-LV"/>
              </w:rPr>
              <w:t xml:space="preserve"> </w:t>
            </w:r>
            <w:proofErr w:type="spellStart"/>
            <w:r w:rsidRPr="0058753E">
              <w:rPr>
                <w:rFonts w:ascii="Geneva" w:hAnsi="Geneva"/>
                <w:sz w:val="18"/>
                <w:szCs w:val="18"/>
              </w:rPr>
              <w:t>starp</w:t>
            </w:r>
            <w:proofErr w:type="spellEnd"/>
            <w:r w:rsidRPr="0058753E">
              <w:rPr>
                <w:rFonts w:ascii="Geneva" w:hAnsi="Geneva"/>
                <w:sz w:val="18"/>
                <w:szCs w:val="18"/>
              </w:rPr>
              <w:t xml:space="preserve"> </w:t>
            </w:r>
            <w:proofErr w:type="spellStart"/>
            <w:r w:rsidRPr="0058753E">
              <w:rPr>
                <w:rFonts w:ascii="Geneva" w:hAnsi="Geneva"/>
                <w:sz w:val="18"/>
                <w:szCs w:val="18"/>
              </w:rPr>
              <w:t>Pretendentiem</w:t>
            </w:r>
            <w:proofErr w:type="spellEnd"/>
            <w:r w:rsidRPr="0058753E">
              <w:rPr>
                <w:rFonts w:ascii="Geneva" w:hAnsi="Geneva"/>
                <w:sz w:val="18"/>
                <w:szCs w:val="18"/>
              </w:rPr>
              <w:t xml:space="preserve"> </w:t>
            </w:r>
            <w:proofErr w:type="spellStart"/>
            <w:r w:rsidRPr="0058753E">
              <w:rPr>
                <w:rFonts w:ascii="Geneva" w:hAnsi="Geneva"/>
                <w:sz w:val="18"/>
                <w:szCs w:val="18"/>
              </w:rPr>
              <w:t>nav</w:t>
            </w:r>
            <w:proofErr w:type="spellEnd"/>
            <w:r w:rsidRPr="0058753E">
              <w:rPr>
                <w:rFonts w:ascii="Geneva" w:hAnsi="Geneva"/>
                <w:sz w:val="18"/>
                <w:szCs w:val="18"/>
              </w:rPr>
              <w:t xml:space="preserve"> </w:t>
            </w:r>
            <w:proofErr w:type="spellStart"/>
            <w:r w:rsidRPr="0058753E">
              <w:rPr>
                <w:rFonts w:ascii="Geneva" w:hAnsi="Geneva"/>
                <w:sz w:val="18"/>
                <w:szCs w:val="18"/>
              </w:rPr>
              <w:t>neviena</w:t>
            </w:r>
            <w:proofErr w:type="spellEnd"/>
            <w:r w:rsidRPr="0058753E">
              <w:rPr>
                <w:rFonts w:ascii="Geneva" w:hAnsi="Geneva"/>
                <w:sz w:val="18"/>
                <w:szCs w:val="18"/>
              </w:rPr>
              <w:t xml:space="preserve">, </w:t>
            </w:r>
            <w:proofErr w:type="spellStart"/>
            <w:r w:rsidRPr="0058753E">
              <w:rPr>
                <w:rFonts w:ascii="Geneva" w:hAnsi="Geneva"/>
                <w:sz w:val="18"/>
                <w:szCs w:val="18"/>
              </w:rPr>
              <w:t>kurš</w:t>
            </w:r>
            <w:proofErr w:type="spellEnd"/>
            <w:r w:rsidRPr="0058753E">
              <w:rPr>
                <w:rFonts w:ascii="Geneva" w:hAnsi="Geneva"/>
                <w:sz w:val="18"/>
                <w:szCs w:val="18"/>
              </w:rPr>
              <w:t xml:space="preserve"> </w:t>
            </w:r>
            <w:proofErr w:type="spellStart"/>
            <w:r w:rsidRPr="0058753E">
              <w:rPr>
                <w:rFonts w:ascii="Geneva" w:hAnsi="Geneva"/>
                <w:sz w:val="18"/>
                <w:szCs w:val="18"/>
              </w:rPr>
              <w:t>atbilst</w:t>
            </w:r>
            <w:proofErr w:type="spellEnd"/>
            <w:r w:rsidRPr="0058753E">
              <w:rPr>
                <w:rFonts w:ascii="Geneva" w:hAnsi="Geneva"/>
                <w:sz w:val="18"/>
                <w:szCs w:val="18"/>
              </w:rPr>
              <w:t xml:space="preserve"> </w:t>
            </w:r>
            <w:proofErr w:type="spellStart"/>
            <w:r w:rsidRPr="0058753E">
              <w:rPr>
                <w:rFonts w:ascii="Geneva" w:hAnsi="Geneva"/>
                <w:sz w:val="18"/>
                <w:szCs w:val="18"/>
              </w:rPr>
              <w:t>iepriekš</w:t>
            </w:r>
            <w:proofErr w:type="spellEnd"/>
            <w:r w:rsidRPr="0058753E">
              <w:rPr>
                <w:rFonts w:ascii="Geneva" w:hAnsi="Geneva"/>
                <w:sz w:val="18"/>
                <w:szCs w:val="18"/>
              </w:rPr>
              <w:t xml:space="preserve"> </w:t>
            </w:r>
            <w:proofErr w:type="spellStart"/>
            <w:r w:rsidRPr="0058753E">
              <w:rPr>
                <w:rFonts w:ascii="Geneva" w:hAnsi="Geneva"/>
                <w:sz w:val="18"/>
                <w:szCs w:val="18"/>
              </w:rPr>
              <w:t>minētajam</w:t>
            </w:r>
            <w:proofErr w:type="spellEnd"/>
            <w:r w:rsidRPr="0058753E">
              <w:rPr>
                <w:rFonts w:ascii="Geneva" w:hAnsi="Geneva"/>
                <w:sz w:val="18"/>
                <w:szCs w:val="18"/>
              </w:rPr>
              <w:t xml:space="preserve"> </w:t>
            </w:r>
            <w:proofErr w:type="spellStart"/>
            <w:r w:rsidRPr="0058753E">
              <w:rPr>
                <w:rFonts w:ascii="Geneva" w:hAnsi="Geneva"/>
                <w:sz w:val="18"/>
                <w:szCs w:val="18"/>
              </w:rPr>
              <w:t>kritērijam</w:t>
            </w:r>
            <w:proofErr w:type="spellEnd"/>
            <w:r w:rsidRPr="0058753E">
              <w:rPr>
                <w:rFonts w:ascii="Geneva" w:hAnsi="Geneva"/>
                <w:sz w:val="18"/>
                <w:szCs w:val="18"/>
              </w:rPr>
              <w:t xml:space="preserve">, </w:t>
            </w:r>
            <w:proofErr w:type="spellStart"/>
            <w:r w:rsidRPr="0058753E">
              <w:rPr>
                <w:rFonts w:ascii="Geneva" w:hAnsi="Geneva"/>
                <w:sz w:val="18"/>
                <w:szCs w:val="18"/>
              </w:rPr>
              <w:t>vai</w:t>
            </w:r>
            <w:proofErr w:type="spellEnd"/>
            <w:r w:rsidRPr="0058753E">
              <w:rPr>
                <w:rFonts w:ascii="Geneva" w:hAnsi="Geneva"/>
                <w:sz w:val="18"/>
                <w:szCs w:val="18"/>
              </w:rPr>
              <w:t xml:space="preserve"> </w:t>
            </w:r>
            <w:proofErr w:type="spellStart"/>
            <w:r w:rsidRPr="0058753E">
              <w:rPr>
                <w:rFonts w:ascii="Geneva" w:hAnsi="Geneva"/>
                <w:sz w:val="18"/>
                <w:szCs w:val="18"/>
              </w:rPr>
              <w:t>šim</w:t>
            </w:r>
            <w:proofErr w:type="spellEnd"/>
            <w:r w:rsidRPr="0058753E">
              <w:rPr>
                <w:rFonts w:ascii="Geneva" w:hAnsi="Geneva"/>
                <w:sz w:val="18"/>
                <w:szCs w:val="18"/>
              </w:rPr>
              <w:t xml:space="preserve"> </w:t>
            </w:r>
            <w:proofErr w:type="spellStart"/>
            <w:r w:rsidRPr="0058753E">
              <w:rPr>
                <w:rFonts w:ascii="Geneva" w:hAnsi="Geneva"/>
                <w:sz w:val="18"/>
                <w:szCs w:val="18"/>
              </w:rPr>
              <w:t>kritērijam</w:t>
            </w:r>
            <w:proofErr w:type="spellEnd"/>
            <w:r w:rsidRPr="0058753E">
              <w:rPr>
                <w:rFonts w:ascii="Geneva" w:hAnsi="Geneva"/>
                <w:sz w:val="18"/>
                <w:szCs w:val="18"/>
              </w:rPr>
              <w:t xml:space="preserve"> </w:t>
            </w:r>
            <w:proofErr w:type="spellStart"/>
            <w:r w:rsidRPr="0058753E">
              <w:rPr>
                <w:rFonts w:ascii="Geneva" w:hAnsi="Geneva"/>
                <w:sz w:val="18"/>
                <w:szCs w:val="18"/>
              </w:rPr>
              <w:t>atbilst</w:t>
            </w:r>
            <w:proofErr w:type="spellEnd"/>
            <w:r w:rsidRPr="0058753E">
              <w:rPr>
                <w:rFonts w:ascii="Geneva" w:hAnsi="Geneva"/>
                <w:sz w:val="18"/>
                <w:szCs w:val="18"/>
              </w:rPr>
              <w:t xml:space="preserve"> </w:t>
            </w:r>
            <w:proofErr w:type="spellStart"/>
            <w:r w:rsidRPr="0058753E">
              <w:rPr>
                <w:rFonts w:ascii="Geneva" w:hAnsi="Geneva"/>
                <w:sz w:val="18"/>
                <w:szCs w:val="18"/>
              </w:rPr>
              <w:t>vairāki</w:t>
            </w:r>
            <w:proofErr w:type="spellEnd"/>
            <w:r w:rsidRPr="0058753E">
              <w:rPr>
                <w:rFonts w:ascii="Geneva" w:hAnsi="Geneva"/>
                <w:sz w:val="18"/>
                <w:szCs w:val="18"/>
              </w:rPr>
              <w:t xml:space="preserve"> </w:t>
            </w:r>
            <w:proofErr w:type="spellStart"/>
            <w:r w:rsidRPr="0058753E">
              <w:rPr>
                <w:rFonts w:ascii="Geneva" w:hAnsi="Geneva"/>
                <w:sz w:val="18"/>
                <w:szCs w:val="18"/>
              </w:rPr>
              <w:t>Pretendenti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Pasūtītājs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rīkos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atklātu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izlozi</w:t>
            </w:r>
            <w:proofErr w:type="spellEnd"/>
            <w:r w:rsidRPr="0058753E">
              <w:rPr>
                <w:rFonts w:ascii="Geneva" w:hAnsi="Geneva"/>
                <w:sz w:val="18"/>
                <w:szCs w:val="18"/>
                <w:lang w:eastAsia="lv-LV"/>
              </w:rPr>
              <w:t xml:space="preserve">. </w:t>
            </w:r>
          </w:p>
          <w:p w14:paraId="20812E17" w14:textId="0E3B716A" w:rsidR="00561E64" w:rsidRPr="0058753E" w:rsidRDefault="00561E64" w:rsidP="00561E64">
            <w:pPr>
              <w:tabs>
                <w:tab w:val="left" w:pos="567"/>
              </w:tabs>
              <w:ind w:left="567"/>
              <w:jc w:val="both"/>
              <w:rPr>
                <w:rFonts w:ascii="Geneva" w:hAnsi="Geneva" w:cs="Arial"/>
                <w:sz w:val="18"/>
                <w:szCs w:val="18"/>
                <w:lang w:val="lv-LV"/>
              </w:rPr>
            </w:pPr>
          </w:p>
          <w:p w14:paraId="5C817F3C" w14:textId="77777777" w:rsidR="00B00CE2" w:rsidRPr="0058753E"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61A5D91C"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r w:rsidR="00556D28">
              <w:fldChar w:fldCharType="begin"/>
            </w:r>
            <w:r w:rsidR="00556D28">
              <w:instrText xml:space="preserve"> HYPERLINK "http://www.cfi.lu.lv" </w:instrText>
            </w:r>
            <w:r w:rsidR="00556D28">
              <w:fldChar w:fldCharType="separate"/>
            </w:r>
            <w:r w:rsidRPr="0058753E">
              <w:rPr>
                <w:rStyle w:val="Hyperlink"/>
                <w:rFonts w:ascii="Geneva" w:hAnsi="Geneva" w:cs="Arial"/>
                <w:sz w:val="18"/>
                <w:szCs w:val="18"/>
                <w:lang w:val="lv-LV"/>
              </w:rPr>
              <w:t>www.cfi.lu.lv</w:t>
            </w:r>
            <w:r w:rsidR="00556D28">
              <w:rPr>
                <w:rStyle w:val="Hyperlink"/>
                <w:rFonts w:ascii="Geneva" w:hAnsi="Geneva" w:cs="Arial"/>
                <w:sz w:val="18"/>
                <w:szCs w:val="18"/>
                <w:lang w:val="lv-LV"/>
              </w:rPr>
              <w:fldChar w:fldCharType="end"/>
            </w:r>
            <w:r w:rsidRPr="0058753E">
              <w:rPr>
                <w:rFonts w:ascii="Geneva" w:hAnsi="Geneva" w:cs="Arial"/>
                <w:sz w:val="18"/>
                <w:szCs w:val="18"/>
                <w:lang w:val="lv-LV"/>
              </w:rPr>
              <w:t xml:space="preserve"> – sadaļā „Iepirkumi” un </w:t>
            </w:r>
            <w:r w:rsidR="00556D28">
              <w:fldChar w:fldCharType="begin"/>
            </w:r>
            <w:r w:rsidR="00556D28">
              <w:instrText xml:space="preserve"> HYPERLINK "http://www.eis.gov.lv" </w:instrText>
            </w:r>
            <w:r w:rsidR="00556D28">
              <w:fldChar w:fldCharType="separate"/>
            </w:r>
            <w:r w:rsidRPr="0058753E">
              <w:rPr>
                <w:rStyle w:val="Hyperlink"/>
                <w:rFonts w:ascii="Geneva" w:hAnsi="Geneva" w:cs="Arial"/>
                <w:sz w:val="18"/>
                <w:szCs w:val="18"/>
                <w:lang w:val="lv-LV"/>
              </w:rPr>
              <w:t>www.eis.gov.lv</w:t>
            </w:r>
            <w:r w:rsidR="00556D28">
              <w:rPr>
                <w:rStyle w:val="Hyperlink"/>
                <w:rFonts w:ascii="Geneva" w:hAnsi="Geneva" w:cs="Arial"/>
                <w:sz w:val="18"/>
                <w:szCs w:val="18"/>
                <w:lang w:val="lv-LV"/>
              </w:rPr>
              <w:fldChar w:fldCharType="end"/>
            </w:r>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FootnoteReferen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 5.</w:t>
            </w:r>
            <w:r w:rsidR="0058753E" w:rsidRPr="0058753E">
              <w:rPr>
                <w:rFonts w:ascii="Geneva" w:hAnsi="Geneva" w:cs="Arial"/>
                <w:b/>
                <w:color w:val="4F81BD" w:themeColor="accent1"/>
                <w:sz w:val="18"/>
                <w:szCs w:val="18"/>
              </w:rPr>
              <w:t xml:space="preserve">martam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r w:rsidR="00556D28">
              <w:fldChar w:fldCharType="begin"/>
            </w:r>
            <w:r w:rsidR="00556D28">
              <w:instrText xml:space="preserve"> HYPERLINK "mailto:ievalr@cfi.lu.lv" </w:instrText>
            </w:r>
            <w:r w:rsidR="00556D28">
              <w:fldChar w:fldCharType="separate"/>
            </w:r>
            <w:r w:rsidRPr="0058753E">
              <w:rPr>
                <w:rStyle w:val="Hyperlink"/>
                <w:rFonts w:ascii="Geneva" w:hAnsi="Geneva" w:cs="Arial"/>
                <w:i/>
                <w:sz w:val="18"/>
                <w:szCs w:val="18"/>
                <w:lang w:val="lv-LV"/>
              </w:rPr>
              <w:t>ievalr@cfi.lu.lv</w:t>
            </w:r>
            <w:r w:rsidR="00556D28">
              <w:rPr>
                <w:rStyle w:val="Hyperlink"/>
                <w:rFonts w:ascii="Geneva" w:hAnsi="Geneva" w:cs="Arial"/>
                <w:i/>
                <w:sz w:val="18"/>
                <w:szCs w:val="18"/>
                <w:lang w:val="lv-LV"/>
              </w:rPr>
              <w:fldChar w:fldCharType="end"/>
            </w:r>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lastRenderedPageBreak/>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5320984F"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 5.</w:t>
            </w:r>
            <w:r w:rsidR="0058753E" w:rsidRPr="0058753E">
              <w:rPr>
                <w:rFonts w:ascii="Geneva" w:hAnsi="Geneva" w:cs="Arial"/>
                <w:b/>
                <w:color w:val="4F81BD" w:themeColor="accent1"/>
                <w:sz w:val="18"/>
                <w:szCs w:val="18"/>
              </w:rPr>
              <w:t xml:space="preserve">martam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72BC8EBB"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2019.gada 5.martā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ListParagraph"/>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ListParagraph"/>
              <w:suppressAutoHyphens/>
              <w:ind w:left="360"/>
              <w:jc w:val="center"/>
              <w:rPr>
                <w:rFonts w:ascii="Geneva" w:hAnsi="Geneva" w:cs="Arial"/>
                <w:b/>
                <w:sz w:val="18"/>
                <w:szCs w:val="18"/>
              </w:rPr>
            </w:pPr>
          </w:p>
          <w:p w14:paraId="5F391561" w14:textId="23F5F0A9" w:rsidR="00B00CE2" w:rsidRPr="0058753E" w:rsidRDefault="00B00CE2" w:rsidP="004029AE">
            <w:pPr>
              <w:pStyle w:val="ListParagraph"/>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F0557B">
              <w:rPr>
                <w:rFonts w:ascii="Geneva" w:hAnsi="Geneva" w:cs="Arial"/>
                <w:color w:val="548DD4" w:themeColor="text2" w:themeTint="99"/>
                <w:sz w:val="18"/>
                <w:szCs w:val="18"/>
              </w:rPr>
              <w:t>LU CFI 2019/4</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 xml:space="preserve">Address: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5B54FD04" w:rsidR="00B00CE2" w:rsidRPr="00F0557B" w:rsidRDefault="00B00CE2" w:rsidP="00F0557B">
            <w:pPr>
              <w:numPr>
                <w:ilvl w:val="2"/>
                <w:numId w:val="24"/>
              </w:numPr>
              <w:jc w:val="both"/>
              <w:rPr>
                <w:rFonts w:ascii="Geneva" w:hAnsi="Geneva" w:cs="Arial"/>
                <w:color w:val="4F81BD" w:themeColor="accent1"/>
                <w:spacing w:val="-1"/>
                <w:sz w:val="18"/>
                <w:szCs w:val="18"/>
              </w:rPr>
            </w:pPr>
            <w:r w:rsidRPr="0058753E">
              <w:rPr>
                <w:rFonts w:ascii="Geneva" w:hAnsi="Geneva" w:cs="Arial"/>
                <w:b/>
                <w:color w:val="000000"/>
                <w:spacing w:val="-1"/>
                <w:sz w:val="18"/>
                <w:szCs w:val="18"/>
              </w:rPr>
              <w:t xml:space="preserve">Procurement </w:t>
            </w:r>
            <w:r w:rsidRPr="00F0557B">
              <w:rPr>
                <w:rFonts w:ascii="Geneva" w:hAnsi="Geneva" w:cs="Arial"/>
                <w:color w:val="000000"/>
                <w:spacing w:val="-1"/>
                <w:sz w:val="18"/>
                <w:szCs w:val="18"/>
              </w:rPr>
              <w:t xml:space="preserve">– </w:t>
            </w:r>
            <w:r w:rsidRPr="00F0557B">
              <w:rPr>
                <w:rFonts w:ascii="Geneva" w:hAnsi="Geneva" w:cs="Arial"/>
                <w:color w:val="548DD4" w:themeColor="text2" w:themeTint="99"/>
                <w:spacing w:val="-1"/>
                <w:sz w:val="18"/>
                <w:szCs w:val="18"/>
              </w:rPr>
              <w:t>open t</w:t>
            </w:r>
            <w:r w:rsidRPr="00F0557B">
              <w:rPr>
                <w:rFonts w:ascii="Geneva" w:hAnsi="Geneva" w:cs="Arial"/>
                <w:color w:val="4F81BD" w:themeColor="accent1"/>
                <w:spacing w:val="-1"/>
                <w:sz w:val="18"/>
                <w:szCs w:val="18"/>
              </w:rPr>
              <w:t>ender “</w:t>
            </w:r>
            <w:r w:rsidR="009F0841" w:rsidRPr="00F0557B">
              <w:rPr>
                <w:rFonts w:ascii="Geneva" w:hAnsi="Geneva"/>
                <w:color w:val="4F81BD" w:themeColor="accent1"/>
                <w:sz w:val="18"/>
                <w:szCs w:val="18"/>
              </w:rPr>
              <w:t xml:space="preserve">Supply of </w:t>
            </w:r>
            <w:r w:rsidR="00F0557B" w:rsidRPr="00F0557B">
              <w:rPr>
                <w:rFonts w:ascii="Geneva" w:hAnsi="Geneva"/>
                <w:color w:val="4F81BD" w:themeColor="accent1"/>
                <w:sz w:val="18"/>
                <w:szCs w:val="18"/>
              </w:rPr>
              <w:t xml:space="preserve">the </w:t>
            </w:r>
            <w:proofErr w:type="spellStart"/>
            <w:r w:rsidR="00F0557B" w:rsidRPr="00F0557B">
              <w:rPr>
                <w:rFonts w:ascii="Geneva" w:hAnsi="Geneva" w:cs="Times New Roman"/>
                <w:color w:val="4F81BD" w:themeColor="accent1"/>
                <w:sz w:val="18"/>
                <w:szCs w:val="18"/>
              </w:rPr>
              <w:t>isostatic</w:t>
            </w:r>
            <w:proofErr w:type="spellEnd"/>
            <w:r w:rsidR="00F0557B" w:rsidRPr="00F0557B">
              <w:rPr>
                <w:rFonts w:ascii="Geneva" w:hAnsi="Geneva" w:cs="Times New Roman"/>
                <w:color w:val="4F81BD" w:themeColor="accent1"/>
                <w:sz w:val="18"/>
                <w:szCs w:val="18"/>
              </w:rPr>
              <w:t xml:space="preserve"> hot press</w:t>
            </w:r>
            <w:r w:rsidRPr="00F0557B">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individual or a legal entity or any association of such in any combination that offers to supply goods on the market.</w:t>
            </w:r>
          </w:p>
          <w:p w14:paraId="3B7095DE" w14:textId="1FFFD76C" w:rsidR="001D7FB7" w:rsidRPr="0058753E" w:rsidRDefault="00B00CE2" w:rsidP="001D7FB7">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 established pursuant to the Order </w:t>
            </w:r>
            <w:r w:rsidR="00A66E33" w:rsidRPr="0058753E">
              <w:rPr>
                <w:rFonts w:ascii="Geneva" w:hAnsi="Geneva" w:cs="Arial"/>
                <w:color w:val="548DD4" w:themeColor="text2" w:themeTint="99"/>
                <w:sz w:val="18"/>
                <w:szCs w:val="18"/>
              </w:rPr>
              <w:t>no.15</w:t>
            </w:r>
            <w:r w:rsidR="001D7FB7" w:rsidRPr="0058753E">
              <w:rPr>
                <w:rFonts w:ascii="Geneva" w:hAnsi="Geneva" w:cs="Arial"/>
                <w:color w:val="548DD4" w:themeColor="text2" w:themeTint="99"/>
                <w:sz w:val="18"/>
                <w:szCs w:val="18"/>
              </w:rPr>
              <w:t>-v of</w:t>
            </w:r>
            <w:r w:rsidRPr="0058753E">
              <w:rPr>
                <w:rFonts w:ascii="Geneva" w:hAnsi="Geneva" w:cs="Arial"/>
                <w:color w:val="548DD4" w:themeColor="text2" w:themeTint="99"/>
                <w:sz w:val="18"/>
                <w:szCs w:val="18"/>
              </w:rPr>
              <w:t xml:space="preserve"> </w:t>
            </w:r>
            <w:r w:rsidR="00A66E33" w:rsidRPr="0058753E">
              <w:rPr>
                <w:rFonts w:ascii="Geneva" w:hAnsi="Geneva" w:cs="Arial"/>
                <w:color w:val="548DD4" w:themeColor="text2" w:themeTint="99"/>
                <w:sz w:val="18"/>
                <w:szCs w:val="18"/>
              </w:rPr>
              <w:t xml:space="preserve">November </w:t>
            </w:r>
            <w:r w:rsidR="00E23A75" w:rsidRPr="0058753E">
              <w:rPr>
                <w:rFonts w:ascii="Geneva" w:hAnsi="Geneva" w:cs="Arial"/>
                <w:color w:val="548DD4" w:themeColor="text2" w:themeTint="99"/>
                <w:sz w:val="18"/>
                <w:szCs w:val="18"/>
              </w:rPr>
              <w:t>27, 2017</w:t>
            </w:r>
            <w:r w:rsidRPr="0058753E">
              <w:rPr>
                <w:rFonts w:ascii="Geneva" w:hAnsi="Geneva" w:cs="Arial"/>
                <w:color w:val="548DD4" w:themeColor="text2" w:themeTint="99"/>
                <w:sz w:val="18"/>
                <w:szCs w:val="18"/>
              </w:rPr>
              <w:t xml:space="preserve">, </w:t>
            </w:r>
            <w:r w:rsidRPr="0058753E">
              <w:rPr>
                <w:rFonts w:ascii="Geneva" w:hAnsi="Geneva" w:cs="Arial"/>
                <w:sz w:val="18"/>
                <w:szCs w:val="18"/>
              </w:rPr>
              <w:t>of the Director of ISSP UL.</w:t>
            </w:r>
          </w:p>
          <w:p w14:paraId="1BBF2097" w14:textId="70787899" w:rsidR="00B00CE2" w:rsidRPr="0058753E" w:rsidRDefault="00B00CE2" w:rsidP="001D7FB7">
            <w:pPr>
              <w:numPr>
                <w:ilvl w:val="1"/>
                <w:numId w:val="24"/>
              </w:numPr>
              <w:ind w:left="567" w:hanging="567"/>
              <w:jc w:val="both"/>
              <w:rPr>
                <w:rFonts w:ascii="Geneva" w:hAnsi="Geneva" w:cs="Arial"/>
                <w:color w:val="4F81BD" w:themeColor="accent1"/>
                <w:sz w:val="18"/>
                <w:szCs w:val="18"/>
              </w:rPr>
            </w:pPr>
            <w:r w:rsidRPr="0058753E">
              <w:rPr>
                <w:rFonts w:ascii="Geneva" w:hAnsi="Geneva" w:cs="Arial"/>
                <w:color w:val="000000"/>
                <w:spacing w:val="-1"/>
                <w:sz w:val="18"/>
                <w:szCs w:val="18"/>
              </w:rPr>
              <w:t>Principal CPV code:</w:t>
            </w:r>
            <w:r w:rsidR="009F0841">
              <w:rPr>
                <w:rFonts w:ascii="Geneva" w:hAnsi="Geneva" w:cs="Times New Roman"/>
                <w:color w:val="4F81BD" w:themeColor="accent1"/>
                <w:sz w:val="18"/>
                <w:szCs w:val="18"/>
              </w:rPr>
              <w:t xml:space="preserve"> </w:t>
            </w:r>
            <w:r w:rsidR="009F0841" w:rsidRPr="006015B2">
              <w:rPr>
                <w:rFonts w:ascii="Times New Roman" w:hAnsi="Times New Roman" w:cs="Times New Roman"/>
                <w:color w:val="000000"/>
              </w:rPr>
              <w:t xml:space="preserve">– </w:t>
            </w:r>
            <w:r w:rsidR="009F0841" w:rsidRPr="009F0841">
              <w:rPr>
                <w:rFonts w:ascii="Geneva" w:hAnsi="Geneva" w:cs="Times New Roman"/>
                <w:color w:val="000000"/>
                <w:sz w:val="18"/>
                <w:szCs w:val="18"/>
              </w:rPr>
              <w:t>42300000-9 Industrial or laboratory furnaces, incinerators and ovens</w:t>
            </w:r>
            <w:r w:rsidR="0058753E" w:rsidRPr="009F0841">
              <w:rPr>
                <w:rFonts w:ascii="Geneva" w:hAnsi="Geneva"/>
                <w:color w:val="4F81BD" w:themeColor="accent1"/>
                <w:sz w:val="18"/>
                <w:szCs w:val="18"/>
              </w:rPr>
              <w:t>.</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The subject matter of the Procurement shall not be divided.</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58753E">
              <w:rPr>
                <w:rFonts w:ascii="Geneva" w:hAnsi="Geneva" w:cs="Arial"/>
                <w:sz w:val="18"/>
                <w:szCs w:val="18"/>
              </w:rPr>
              <w:t>Programme</w:t>
            </w:r>
            <w:proofErr w:type="spellEnd"/>
            <w:r w:rsidRPr="0058753E">
              <w:rPr>
                <w:rFonts w:ascii="Geneva" w:hAnsi="Geneva" w:cs="Arial"/>
                <w:sz w:val="18"/>
                <w:szCs w:val="18"/>
              </w:rPr>
              <w:t xml:space="preserve"> of the European Regional Development Fund Growth and Employment. </w:t>
            </w:r>
          </w:p>
          <w:p w14:paraId="2D420AB9" w14:textId="51323CFB"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F0557B">
              <w:rPr>
                <w:rFonts w:ascii="Geneva" w:hAnsi="Geneva" w:cs="Arial"/>
                <w:color w:val="548DD4" w:themeColor="text2" w:themeTint="99"/>
                <w:sz w:val="18"/>
                <w:szCs w:val="18"/>
              </w:rPr>
              <w:t>within 13 (thirteen)</w:t>
            </w:r>
            <w:r w:rsidRPr="0058753E">
              <w:rPr>
                <w:rFonts w:ascii="Geneva" w:hAnsi="Geneva" w:cs="Arial"/>
                <w:color w:val="548DD4" w:themeColor="text2" w:themeTint="99"/>
                <w:sz w:val="18"/>
                <w:szCs w:val="18"/>
              </w:rPr>
              <w:t xml:space="preserve">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3A2B34F6" w14:textId="77777777"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r w:rsidRPr="0058753E">
              <w:rPr>
                <w:rFonts w:ascii="Geneva" w:hAnsi="Geneva" w:cs="Arial"/>
                <w:sz w:val="18"/>
                <w:szCs w:val="18"/>
              </w:rPr>
              <w:t xml:space="preserve">as a result of the Procurement the Contract shall be concluded with the winning Tenderer. Draft Contract shall be attached to the Regulations as Annex 4.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lastRenderedPageBreak/>
              <w:t xml:space="preserve">Procedure for Settlement of Accounts: </w:t>
            </w:r>
            <w:r w:rsidRPr="0058753E">
              <w:rPr>
                <w:rFonts w:ascii="Geneva" w:hAnsi="Geneva" w:cs="Arial"/>
                <w:sz w:val="18"/>
                <w:szCs w:val="18"/>
              </w:rPr>
              <w:t>the procedure for settlement of accounts shall be laid down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2310E521" w14:textId="77777777" w:rsidR="00B00CE2" w:rsidRPr="0058753E" w:rsidRDefault="00B00CE2" w:rsidP="004029AE">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Pr="0058753E">
              <w:rPr>
                <w:rFonts w:ascii="Geneva" w:hAnsi="Geneva" w:cs="Arial"/>
                <w:sz w:val="18"/>
                <w:szCs w:val="18"/>
              </w:rPr>
              <w:t>the Contracting Authority shall award the right to enter into the Procurement Contract to the most economically advantageous Tender in terms of the price only.</w:t>
            </w:r>
          </w:p>
          <w:p w14:paraId="0517FD75" w14:textId="5CA616D2" w:rsidR="00D67EE2" w:rsidRPr="0058753E" w:rsidRDefault="00D67EE2" w:rsidP="004F687B">
            <w:pPr>
              <w:tabs>
                <w:tab w:val="left" w:pos="1168"/>
              </w:tabs>
              <w:ind w:left="1310" w:hanging="743"/>
              <w:jc w:val="both"/>
              <w:rPr>
                <w:rFonts w:ascii="Geneva" w:hAnsi="Geneva" w:cs="Arial"/>
                <w:sz w:val="18"/>
                <w:szCs w:val="18"/>
              </w:rPr>
            </w:pPr>
            <w:r w:rsidRPr="0058753E">
              <w:rPr>
                <w:rFonts w:ascii="Geneva" w:hAnsi="Geneva" w:cs="Arial"/>
                <w:b/>
                <w:sz w:val="18"/>
                <w:szCs w:val="18"/>
              </w:rPr>
              <w:t>1.</w:t>
            </w:r>
            <w:r w:rsidRPr="0058753E">
              <w:rPr>
                <w:rFonts w:ascii="Geneva" w:hAnsi="Geneva" w:cs="Arial"/>
                <w:sz w:val="18"/>
                <w:szCs w:val="18"/>
              </w:rPr>
              <w:t>9.1. If before the decision to award the contract, the Contracting authority finds that evaluation results of the bids of tenderers is the same according to the awarding criteria, the Cont</w:t>
            </w:r>
            <w:r w:rsidR="004F687B" w:rsidRPr="0058753E">
              <w:rPr>
                <w:rFonts w:ascii="Geneva" w:hAnsi="Geneva" w:cs="Arial"/>
                <w:sz w:val="18"/>
                <w:szCs w:val="18"/>
              </w:rPr>
              <w: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p>
          <w:p w14:paraId="5A32F602" w14:textId="77777777" w:rsidR="00B00CE2" w:rsidRPr="0058753E" w:rsidRDefault="00B00CE2" w:rsidP="004029AE">
            <w:pPr>
              <w:pStyle w:val="Heading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t>Place of Receipt of the Regulations, Supply of Additional Information and Other Terms and Conditions.</w:t>
            </w:r>
          </w:p>
          <w:p w14:paraId="70148E74" w14:textId="6ECBE98C"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9">
              <w:r w:rsidRPr="0058753E">
                <w:rPr>
                  <w:rStyle w:val="Hyperlink"/>
                  <w:rFonts w:ascii="Geneva" w:hAnsi="Geneva" w:cs="Arial"/>
                  <w:sz w:val="18"/>
                  <w:szCs w:val="18"/>
                </w:rPr>
                <w:t>www.cfi.lu.lv</w:t>
              </w:r>
            </w:hyperlink>
            <w:r w:rsidRPr="0058753E">
              <w:rPr>
                <w:rFonts w:ascii="Geneva" w:hAnsi="Geneva" w:cs="Arial"/>
                <w:sz w:val="18"/>
                <w:szCs w:val="18"/>
              </w:rPr>
              <w:t xml:space="preserve"> – section “Procurements” and on </w:t>
            </w:r>
            <w:hyperlink r:id="rId10">
              <w:r w:rsidRPr="0058753E">
                <w:rPr>
                  <w:rStyle w:val="Hyperlink"/>
                  <w:rFonts w:ascii="Geneva" w:hAnsi="Geneva" w:cs="Arial"/>
                  <w:sz w:val="18"/>
                  <w:szCs w:val="18"/>
                </w:rPr>
                <w:t>www.eis.gov.lv</w:t>
              </w:r>
            </w:hyperlink>
            <w:r w:rsidRPr="0058753E">
              <w:rPr>
                <w:rFonts w:ascii="Geneva" w:hAnsi="Geneva" w:cs="Arial"/>
                <w:sz w:val="18"/>
                <w:szCs w:val="18"/>
              </w:rPr>
              <w:t xml:space="preserve">. An interested supplier may register in the </w:t>
            </w:r>
            <w:proofErr w:type="spellStart"/>
            <w:r w:rsidRPr="0058753E">
              <w:rPr>
                <w:rFonts w:ascii="Geneva" w:hAnsi="Geneva" w:cs="Arial"/>
                <w:sz w:val="18"/>
                <w:szCs w:val="18"/>
              </w:rPr>
              <w:t>Electronical</w:t>
            </w:r>
            <w:proofErr w:type="spellEnd"/>
            <w:r w:rsidRPr="0058753E">
              <w:rPr>
                <w:rFonts w:ascii="Geneva" w:hAnsi="Geneva" w:cs="Arial"/>
                <w:sz w:val="18"/>
                <w:szCs w:val="18"/>
              </w:rPr>
              <w:t xml:space="preserve">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FootnoteReferen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 xml:space="preserve">until </w:t>
            </w:r>
            <w:r w:rsidR="0058753E" w:rsidRPr="0058753E">
              <w:rPr>
                <w:rFonts w:ascii="Geneva" w:hAnsi="Geneva" w:cs="Arial"/>
                <w:b/>
                <w:color w:val="4F81BD" w:themeColor="accent1"/>
                <w:sz w:val="18"/>
                <w:szCs w:val="18"/>
              </w:rPr>
              <w:t>March 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w:t>
            </w:r>
            <w:r w:rsidRPr="0058753E">
              <w:rPr>
                <w:rFonts w:ascii="Geneva" w:hAnsi="Geneva" w:cs="Arial"/>
                <w:kern w:val="2"/>
                <w:sz w:val="18"/>
                <w:szCs w:val="18"/>
              </w:rPr>
              <w:lastRenderedPageBreak/>
              <w:t xml:space="preserve">Procurement procedure: </w:t>
            </w:r>
            <w:r w:rsidR="00B70204" w:rsidRPr="0058753E">
              <w:rPr>
                <w:rFonts w:ascii="Geneva" w:hAnsi="Geneva" w:cs="Arial"/>
                <w:i/>
                <w:sz w:val="18"/>
                <w:szCs w:val="18"/>
                <w:lang w:val="lv-LV"/>
              </w:rPr>
              <w:t xml:space="preserve">Ieva Lacenberga-Rocena, phone no 29141994, e-mail: </w:t>
            </w:r>
            <w:r w:rsidR="00556D28">
              <w:fldChar w:fldCharType="begin"/>
            </w:r>
            <w:r w:rsidR="00556D28">
              <w:instrText xml:space="preserve"> HYPERLINK "mailto:ievalr@cfi.lu.lv" </w:instrText>
            </w:r>
            <w:r w:rsidR="00556D28">
              <w:fldChar w:fldCharType="separate"/>
            </w:r>
            <w:r w:rsidR="00B70204" w:rsidRPr="0058753E">
              <w:rPr>
                <w:rStyle w:val="Hyperlink"/>
                <w:rFonts w:ascii="Geneva" w:hAnsi="Geneva" w:cs="Arial"/>
                <w:i/>
                <w:sz w:val="18"/>
                <w:szCs w:val="18"/>
                <w:lang w:val="lv-LV"/>
              </w:rPr>
              <w:t>ievalr@cfi.lu.lv</w:t>
            </w:r>
            <w:r w:rsidR="00556D28">
              <w:rPr>
                <w:rStyle w:val="Hyperlink"/>
                <w:rFonts w:ascii="Geneva" w:hAnsi="Geneva" w:cs="Arial"/>
                <w:i/>
                <w:sz w:val="18"/>
                <w:szCs w:val="18"/>
                <w:lang w:val="lv-LV"/>
              </w:rPr>
              <w:fldChar w:fldCharType="end"/>
            </w:r>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1A25896B"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until March 5,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Tenders submitted outside of the EPS shall not be accepted and shall be returned to the respective Tenderers.</w:t>
            </w:r>
          </w:p>
          <w:p w14:paraId="31C74EB0" w14:textId="256F0E57"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shall be opened in the EPS </w:t>
            </w:r>
            <w:r w:rsidR="0058753E">
              <w:rPr>
                <w:rFonts w:ascii="Geneva" w:hAnsi="Geneva" w:cs="Arial"/>
                <w:b/>
                <w:color w:val="4F81BD" w:themeColor="accent1"/>
                <w:sz w:val="18"/>
                <w:szCs w:val="18"/>
              </w:rPr>
              <w:t xml:space="preserve">on </w:t>
            </w:r>
            <w:r w:rsidR="0058753E" w:rsidRPr="0058753E">
              <w:rPr>
                <w:rFonts w:ascii="Geneva" w:hAnsi="Geneva" w:cs="Arial"/>
                <w:b/>
                <w:color w:val="4F81BD" w:themeColor="accent1"/>
                <w:sz w:val="18"/>
                <w:szCs w:val="18"/>
              </w:rPr>
              <w:t xml:space="preserve">March 5,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t>after</w:t>
            </w:r>
            <w:proofErr w:type="gramEnd"/>
            <w:r w:rsidRPr="0058753E">
              <w:rPr>
                <w:rFonts w:ascii="Geneva" w:hAnsi="Geneva" w:cs="Arial"/>
                <w:sz w:val="18"/>
                <w:szCs w:val="18"/>
              </w:rPr>
              <w:t xml:space="preserve"> the Tender submission deadline. The opening process of the Tenders may be tracked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lastRenderedPageBreak/>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Sagatavojot</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piedāvājumu</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Pretendents</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ievēro</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ka</w:t>
            </w:r>
            <w:proofErr w:type="spellEnd"/>
            <w:r w:rsidRPr="002C675F">
              <w:rPr>
                <w:rFonts w:ascii="Geneva" w:hAnsi="Geneva" w:cs="Arial"/>
                <w:b/>
                <w:sz w:val="18"/>
                <w:szCs w:val="18"/>
              </w:rPr>
              <w:t>:</w:t>
            </w:r>
          </w:p>
          <w:p w14:paraId="02C311E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Pieteikuma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veidlapa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tehniskais</w:t>
            </w:r>
            <w:proofErr w:type="spellEnd"/>
            <w:r w:rsidRPr="002C675F">
              <w:rPr>
                <w:rFonts w:ascii="Geneva" w:hAnsi="Geneva" w:cs="Arial"/>
                <w:sz w:val="18"/>
                <w:szCs w:val="18"/>
              </w:rPr>
              <w:t xml:space="preserve"> </w:t>
            </w:r>
            <w:proofErr w:type="gramStart"/>
            <w:r w:rsidRPr="002C675F">
              <w:rPr>
                <w:rFonts w:ascii="Geneva" w:hAnsi="Geneva" w:cs="Arial"/>
                <w:sz w:val="18"/>
                <w:szCs w:val="18"/>
              </w:rPr>
              <w:t>un</w:t>
            </w:r>
            <w:proofErr w:type="gramEnd"/>
            <w:r w:rsidRPr="002C675F">
              <w:rPr>
                <w:rFonts w:ascii="Geneva" w:hAnsi="Geneva" w:cs="Arial"/>
                <w:sz w:val="18"/>
                <w:szCs w:val="18"/>
              </w:rPr>
              <w:t xml:space="preserve"> </w:t>
            </w:r>
            <w:proofErr w:type="spellStart"/>
            <w:r w:rsidRPr="002C675F">
              <w:rPr>
                <w:rFonts w:ascii="Geneva" w:hAnsi="Geneva" w:cs="Arial"/>
                <w:sz w:val="18"/>
                <w:szCs w:val="18"/>
              </w:rPr>
              <w:t>finanšu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jāaizpilda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atsevišķā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Microsoft Office 2010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vēlākas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versijas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rīkiem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lasāmā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formātā</w:t>
            </w:r>
            <w:proofErr w:type="spellEnd"/>
            <w:r w:rsidRPr="002C675F">
              <w:rPr>
                <w:rFonts w:ascii="Geneva" w:hAnsi="Geneva" w:cs="Arial"/>
                <w:sz w:val="18"/>
                <w:szCs w:val="18"/>
              </w:rPr>
              <w:t>.</w:t>
            </w:r>
          </w:p>
          <w:p w14:paraId="1092B45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pieteikumu</w:t>
            </w:r>
            <w:proofErr w:type="spellEnd"/>
            <w:r w:rsidRPr="002C675F">
              <w:rPr>
                <w:rFonts w:ascii="Geneva" w:hAnsi="Geneva" w:cs="Arial"/>
                <w:sz w:val="18"/>
                <w:szCs w:val="18"/>
              </w:rPr>
              <w:t xml:space="preserve"> (1.pielikums) </w:t>
            </w:r>
            <w:proofErr w:type="spellStart"/>
            <w:r w:rsidRPr="002C675F">
              <w:rPr>
                <w:rFonts w:ascii="Geneva" w:hAnsi="Geneva" w:cs="Arial"/>
                <w:sz w:val="18"/>
                <w:szCs w:val="18"/>
              </w:rPr>
              <w:t>paraksta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tiesīgā</w:t>
            </w:r>
            <w:proofErr w:type="spellEnd"/>
            <w:r w:rsidRPr="002C675F">
              <w:rPr>
                <w:rFonts w:ascii="Geneva" w:hAnsi="Geneva" w:cs="Arial"/>
                <w:sz w:val="18"/>
                <w:szCs w:val="18"/>
              </w:rPr>
              <w:t xml:space="preserve"> persona, </w:t>
            </w:r>
            <w:proofErr w:type="spellStart"/>
            <w:r w:rsidRPr="002C675F">
              <w:rPr>
                <w:rFonts w:ascii="Geneva" w:hAnsi="Geneva" w:cs="Arial"/>
                <w:sz w:val="18"/>
                <w:szCs w:val="18"/>
              </w:rPr>
              <w:t>pievienojot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pārstāvību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pilnvaru</w:t>
            </w:r>
            <w:proofErr w:type="spellEnd"/>
            <w:r w:rsidRPr="002C675F">
              <w:rPr>
                <w:rFonts w:ascii="Geneva" w:hAnsi="Geneva" w:cs="Arial"/>
                <w:sz w:val="18"/>
                <w:szCs w:val="18"/>
              </w:rPr>
              <w:t>);</w:t>
            </w:r>
          </w:p>
          <w:p w14:paraId="671D5D40"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Citus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ieskatiem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drošu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w:t>
            </w:r>
          </w:p>
          <w:p w14:paraId="6C8F4374"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kvalitāti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apliecinošie</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sertifikāti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citā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pievienotu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tulkojumu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
          <w:p w14:paraId="4F1BA5DC"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iesniedzis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apliecina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juridiskā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spēka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nav</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normatīvo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aktu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lastRenderedPageBreak/>
              <w:t>prasībām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Pasūtītājs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tam </w:t>
            </w:r>
            <w:proofErr w:type="spellStart"/>
            <w:r w:rsidRPr="002C675F">
              <w:rPr>
                <w:rFonts w:ascii="Geneva" w:hAnsi="Geneva" w:cs="Arial"/>
                <w:sz w:val="18"/>
                <w:szCs w:val="18"/>
              </w:rPr>
              <w:t>rodas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šaubas</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iesniegtā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autentiskumu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w:t>
            </w:r>
            <w:proofErr w:type="spellEnd"/>
            <w:r w:rsidRPr="002C675F">
              <w:rPr>
                <w:rFonts w:ascii="Geneva" w:hAnsi="Geneva" w:cs="Arial"/>
                <w:sz w:val="18"/>
                <w:szCs w:val="18"/>
              </w:rPr>
              <w:t xml:space="preserve"> 37.panta </w:t>
            </w:r>
            <w:proofErr w:type="spellStart"/>
            <w:r w:rsidRPr="002C675F">
              <w:rPr>
                <w:rFonts w:ascii="Geneva" w:hAnsi="Geneva" w:cs="Arial"/>
                <w:sz w:val="18"/>
                <w:szCs w:val="18"/>
              </w:rPr>
              <w:t>piektās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daļas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kārtībā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pieprasīt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oriģinālu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w:t>
            </w:r>
          </w:p>
          <w:p w14:paraId="72B6D856"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Komerclikuma</w:t>
            </w:r>
            <w:proofErr w:type="spellEnd"/>
            <w:r w:rsidRPr="002C675F">
              <w:rPr>
                <w:rFonts w:ascii="Geneva" w:hAnsi="Geneva" w:cs="Arial"/>
                <w:sz w:val="18"/>
                <w:szCs w:val="18"/>
              </w:rPr>
              <w:t xml:space="preserve"> 19.pantam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uzskatāma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konfidenciālu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konfidenciāla</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būt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vispārpieejamu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w:t>
            </w:r>
          </w:p>
          <w:p w14:paraId="6B965F43"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atzīst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visus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Nolikumā</w:t>
            </w:r>
            <w:proofErr w:type="spellEnd"/>
            <w:r w:rsidRPr="002C675F">
              <w:rPr>
                <w:rFonts w:ascii="Geneva" w:hAnsi="Geneva" w:cs="Arial"/>
                <w:sz w:val="18"/>
                <w:szCs w:val="18"/>
              </w:rPr>
              <w:t xml:space="preserve"> (t.sk.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pielikumos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formās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kuras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ievietotas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sistēmā</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sadaļā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nosacījumus</w:t>
            </w:r>
            <w:proofErr w:type="spellEnd"/>
            <w:r w:rsidRPr="002C675F">
              <w:rPr>
                <w:rFonts w:ascii="Geneva" w:hAnsi="Geneva" w:cs="Arial"/>
                <w:sz w:val="18"/>
                <w:szCs w:val="18"/>
              </w:rPr>
              <w:t>.</w:t>
            </w:r>
          </w:p>
          <w:p w14:paraId="02D18FA5"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jāsagatavo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nekādā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apdraudēta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darbība</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nebūtu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ierobežota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piekļuve</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ietvertajai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tostarp</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nedrīkst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datorvīrusus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citas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kaitīgas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ģeneratorus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šifrēts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(ne </w:t>
            </w:r>
            <w:proofErr w:type="spellStart"/>
            <w:r w:rsidRPr="002C675F">
              <w:rPr>
                <w:rFonts w:ascii="Geneva" w:hAnsi="Geneva" w:cs="Arial"/>
                <w:sz w:val="18"/>
                <w:szCs w:val="18"/>
              </w:rPr>
              <w:t>vēlāk</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w:t>
            </w:r>
            <w:proofErr w:type="spellEnd"/>
            <w:r w:rsidRPr="002C675F">
              <w:rPr>
                <w:rFonts w:ascii="Geneva" w:hAnsi="Geneva" w:cs="Arial"/>
                <w:sz w:val="18"/>
                <w:szCs w:val="18"/>
              </w:rPr>
              <w:t xml:space="preserve"> 15 </w:t>
            </w:r>
            <w:proofErr w:type="spellStart"/>
            <w:r w:rsidRPr="002C675F">
              <w:rPr>
                <w:rFonts w:ascii="Geneva" w:hAnsi="Geneva" w:cs="Arial"/>
                <w:sz w:val="18"/>
                <w:szCs w:val="18"/>
              </w:rPr>
              <w:t>minūšu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uzsākšanas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derīga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atslēga</w:t>
            </w:r>
            <w:proofErr w:type="spellEnd"/>
            <w:r w:rsidRPr="002C675F">
              <w:rPr>
                <w:rFonts w:ascii="Geneva" w:hAnsi="Geneva" w:cs="Arial"/>
                <w:sz w:val="18"/>
                <w:szCs w:val="18"/>
              </w:rPr>
              <w:t xml:space="preserve"> un parole </w:t>
            </w:r>
            <w:proofErr w:type="spellStart"/>
            <w:r w:rsidRPr="002C675F">
              <w:rPr>
                <w:rFonts w:ascii="Geneva" w:hAnsi="Geneva" w:cs="Arial"/>
                <w:sz w:val="18"/>
                <w:szCs w:val="18"/>
              </w:rPr>
              <w:t>šifrētā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atvēršanai</w:t>
            </w:r>
            <w:proofErr w:type="spellEnd"/>
            <w:r w:rsidRPr="002C675F">
              <w:rPr>
                <w:rFonts w:ascii="Geneva" w:hAnsi="Geneva" w:cs="Arial"/>
                <w:sz w:val="18"/>
                <w:szCs w:val="18"/>
              </w:rPr>
              <w:t>.</w:t>
            </w:r>
          </w:p>
          <w:p w14:paraId="3C805B9F" w14:textId="77777777" w:rsidR="00B00CE2" w:rsidRPr="002C675F" w:rsidRDefault="00B00CE2" w:rsidP="00B00CE2">
            <w:pPr>
              <w:pStyle w:val="ListParagraph"/>
              <w:spacing w:after="60"/>
              <w:ind w:left="90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kādu</w:t>
            </w:r>
            <w:proofErr w:type="spellEnd"/>
            <w:r w:rsidRPr="002C675F">
              <w:rPr>
                <w:rFonts w:ascii="Geneva" w:hAnsi="Geneva" w:cs="Arial"/>
                <w:sz w:val="18"/>
                <w:szCs w:val="18"/>
              </w:rPr>
              <w:t xml:space="preserve"> no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minētajiem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riskiem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izskatīts</w:t>
            </w:r>
            <w:proofErr w:type="spellEnd"/>
            <w:r w:rsidRPr="002C675F">
              <w:rPr>
                <w:rFonts w:ascii="Geneva" w:hAnsi="Geneva" w:cs="Arial"/>
                <w:sz w:val="18"/>
                <w:szCs w:val="18"/>
              </w:rPr>
              <w:t>.</w:t>
            </w:r>
          </w:p>
          <w:p w14:paraId="2347C2D3"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Iesniedzamie</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dokumenti</w:t>
            </w:r>
            <w:proofErr w:type="spellEnd"/>
            <w:r w:rsidRPr="002C675F">
              <w:rPr>
                <w:rFonts w:ascii="Geneva" w:hAnsi="Geneva" w:cs="Arial"/>
                <w:b/>
                <w:sz w:val="18"/>
                <w:szCs w:val="18"/>
              </w:rPr>
              <w:t>:</w:t>
            </w:r>
          </w:p>
          <w:p w14:paraId="1309DDE4"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lastRenderedPageBreak/>
              <w:t>The Tender Shall Be Submitted Electronically in the EPS with the Following Options for the Tenderer:</w:t>
            </w:r>
          </w:p>
          <w:p w14:paraId="3894FA05"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In the event that the Tenderer submits a copy of any document, it shall be certified pursuant to the Law on Legal Force of Documents</w:t>
            </w:r>
            <w:r w:rsidRPr="002C675F">
              <w:rPr>
                <w:rStyle w:val="FootnoteReferen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FootnoteReferen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w:t>
            </w:r>
            <w:r w:rsidRPr="002C675F">
              <w:rPr>
                <w:rFonts w:ascii="Geneva" w:hAnsi="Geneva" w:cs="Arial"/>
                <w:sz w:val="18"/>
                <w:szCs w:val="18"/>
              </w:rPr>
              <w:lastRenderedPageBreak/>
              <w:t>document copy;</w:t>
            </w:r>
          </w:p>
          <w:p w14:paraId="267305D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FootnoteReferen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C675F" w:rsidRDefault="004029AE" w:rsidP="004029AE">
            <w:pPr>
              <w:pStyle w:val="ListParagraph"/>
              <w:spacing w:after="60"/>
              <w:ind w:left="900"/>
              <w:jc w:val="both"/>
              <w:rPr>
                <w:rFonts w:ascii="Geneva" w:hAnsi="Geneva" w:cs="Arial"/>
                <w:sz w:val="18"/>
                <w:szCs w:val="18"/>
              </w:rPr>
            </w:pPr>
            <w:r w:rsidRPr="002C675F">
              <w:rPr>
                <w:rFonts w:ascii="Geneva" w:hAnsi="Geneva" w:cs="Arial"/>
                <w:sz w:val="18"/>
                <w:szCs w:val="18"/>
              </w:rPr>
              <w:t>In the event that the Tender contains any of the risks above, it shall not be considered.</w:t>
            </w:r>
          </w:p>
          <w:p w14:paraId="2DD7B6EC"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Index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58753E" w:rsidRDefault="00F670FC" w:rsidP="003C527A">
            <w:pPr>
              <w:pStyle w:val="Index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185B9091" w14:textId="194D3AD0" w:rsidR="00E96B4E" w:rsidRPr="0058753E" w:rsidRDefault="00F670FC" w:rsidP="003C527A">
            <w:pPr>
              <w:pStyle w:val="Index1"/>
              <w:rPr>
                <w:rFonts w:ascii="Geneva" w:hAnsi="Geneva"/>
                <w:color w:val="auto"/>
              </w:rPr>
            </w:pPr>
            <w:r w:rsidRPr="0058753E">
              <w:rPr>
                <w:rFonts w:ascii="Geneva" w:hAnsi="Geneva"/>
                <w:color w:val="auto"/>
              </w:rPr>
              <w:lastRenderedPageBreak/>
              <w:t xml:space="preserve">3.3. </w:t>
            </w:r>
            <w:r w:rsidR="00E96B4E" w:rsidRPr="0058753E">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58753E" w:rsidRDefault="00F670FC" w:rsidP="003C527A">
            <w:pPr>
              <w:pStyle w:val="Index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Index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Index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Index1"/>
              <w:rPr>
                <w:rFonts w:ascii="Geneva" w:hAnsi="Geneva"/>
                <w:color w:val="auto"/>
              </w:rPr>
            </w:pPr>
            <w:r w:rsidRPr="0058753E">
              <w:rPr>
                <w:rFonts w:ascii="Geneva" w:hAnsi="Geneva"/>
                <w:color w:val="auto"/>
              </w:rPr>
              <w:lastRenderedPageBreak/>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131C7589" w14:textId="04B817C4" w:rsidR="006972A7" w:rsidRPr="0058753E" w:rsidRDefault="00F670FC" w:rsidP="003C527A">
            <w:pPr>
              <w:pStyle w:val="Index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ListParagraph"/>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w:t>
                  </w:r>
                  <w:r w:rsidRPr="00D5250D">
                    <w:rPr>
                      <w:rFonts w:ascii="Geneva" w:hAnsi="Geneva" w:cs="Arial"/>
                      <w:sz w:val="18"/>
                      <w:szCs w:val="18"/>
                      <w:lang w:val="lv-LV"/>
                    </w:rPr>
                    <w:lastRenderedPageBreak/>
                    <w:t xml:space="preserve">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lastRenderedPageBreak/>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ListParagraph"/>
                    <w:ind w:left="0"/>
                    <w:jc w:val="both"/>
                    <w:rPr>
                      <w:rFonts w:ascii="Geneva" w:hAnsi="Geneva" w:cs="Arial"/>
                      <w:sz w:val="18"/>
                      <w:szCs w:val="18"/>
                      <w:lang w:val="lv-LV"/>
                    </w:rPr>
                  </w:pPr>
                  <w:r w:rsidRPr="00D5250D">
                    <w:rPr>
                      <w:rFonts w:ascii="Geneva" w:hAnsi="Geneva" w:cs="Arial"/>
                      <w:sz w:val="18"/>
                      <w:szCs w:val="18"/>
                      <w:lang w:val="lv-LV"/>
                    </w:rPr>
                    <w:t xml:space="preserve">4.1.3. Pretendents </w:t>
                  </w:r>
                  <w:proofErr w:type="spellStart"/>
                  <w:r w:rsidRPr="00D5250D">
                    <w:rPr>
                      <w:rFonts w:ascii="Geneva" w:hAnsi="Geneva" w:cs="Arial"/>
                      <w:sz w:val="18"/>
                      <w:szCs w:val="18"/>
                    </w:rPr>
                    <w:t>ir</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reģistrēts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atbilstoši</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reģistrācijas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vai</w:t>
                  </w:r>
                  <w:proofErr w:type="spellEnd"/>
                  <w:r w:rsidRPr="00D5250D">
                    <w:rPr>
                      <w:rFonts w:ascii="Geneva" w:hAnsi="Geneva" w:cs="Arial"/>
                      <w:sz w:val="18"/>
                      <w:szCs w:val="18"/>
                    </w:rPr>
                    <w:t xml:space="preserve"> </w:t>
                  </w:r>
                  <w:proofErr w:type="spellStart"/>
                  <w:r w:rsidRPr="00D5250D">
                    <w:rPr>
                      <w:rFonts w:ascii="Geneva" w:hAnsi="Geneva" w:cs="Arial"/>
                      <w:sz w:val="18"/>
                      <w:szCs w:val="18"/>
                    </w:rPr>
                    <w:t>pastāvīgās</w:t>
                  </w:r>
                  <w:proofErr w:type="spellEnd"/>
                  <w:r w:rsidRPr="00D5250D">
                    <w:rPr>
                      <w:rFonts w:ascii="Geneva" w:hAnsi="Geneva" w:cs="Arial"/>
                      <w:sz w:val="18"/>
                      <w:szCs w:val="18"/>
                    </w:rPr>
                    <w:t xml:space="preserve"> </w:t>
                  </w:r>
                  <w:proofErr w:type="spellStart"/>
                  <w:r w:rsidRPr="00D5250D">
                    <w:rPr>
                      <w:rFonts w:ascii="Geneva" w:hAnsi="Geneva" w:cs="Arial"/>
                      <w:sz w:val="18"/>
                      <w:szCs w:val="18"/>
                    </w:rPr>
                    <w:t>dzīvesvietas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valsts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normatīvo</w:t>
                  </w:r>
                  <w:proofErr w:type="spellEnd"/>
                  <w:r w:rsidRPr="00D5250D">
                    <w:rPr>
                      <w:rFonts w:ascii="Geneva" w:hAnsi="Geneva" w:cs="Arial"/>
                      <w:sz w:val="18"/>
                      <w:szCs w:val="18"/>
                    </w:rPr>
                    <w:t xml:space="preserve"> </w:t>
                  </w:r>
                  <w:proofErr w:type="spellStart"/>
                  <w:r w:rsidRPr="00D5250D">
                    <w:rPr>
                      <w:rFonts w:ascii="Geneva" w:hAnsi="Geneva" w:cs="Arial"/>
                      <w:sz w:val="18"/>
                      <w:szCs w:val="18"/>
                    </w:rPr>
                    <w:t>aktu</w:t>
                  </w:r>
                  <w:proofErr w:type="spellEnd"/>
                  <w:r w:rsidRPr="00D5250D">
                    <w:rPr>
                      <w:rFonts w:ascii="Geneva" w:hAnsi="Geneva" w:cs="Arial"/>
                      <w:sz w:val="18"/>
                      <w:szCs w:val="18"/>
                    </w:rPr>
                    <w:t xml:space="preserve"> </w:t>
                  </w:r>
                  <w:proofErr w:type="spellStart"/>
                  <w:r w:rsidRPr="00D5250D">
                    <w:rPr>
                      <w:rFonts w:ascii="Geneva" w:hAnsi="Geneva" w:cs="Arial"/>
                      <w:sz w:val="18"/>
                      <w:szCs w:val="18"/>
                    </w:rPr>
                    <w:t>prasībām</w:t>
                  </w:r>
                  <w:proofErr w:type="spellEnd"/>
                  <w:r w:rsidRPr="00D5250D">
                    <w:rPr>
                      <w:rFonts w:ascii="Geneva" w:hAnsi="Geneva" w:cs="Arial"/>
                      <w:sz w:val="18"/>
                      <w:szCs w:val="18"/>
                      <w:lang w:val="lv-LV"/>
                    </w:rPr>
                    <w:t>.</w:t>
                  </w:r>
                </w:p>
                <w:p w14:paraId="77E36844"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proofErr w:type="spellStart"/>
                  <w:r w:rsidR="0062281C" w:rsidRPr="00D5250D">
                    <w:rPr>
                      <w:rFonts w:ascii="Geneva" w:eastAsia="Times New Roman" w:hAnsi="Geneva"/>
                      <w:sz w:val="18"/>
                      <w:szCs w:val="18"/>
                    </w:rPr>
                    <w:t>vai</w:t>
                  </w:r>
                  <w:proofErr w:type="spellEnd"/>
                  <w:r w:rsidR="0062281C" w:rsidRPr="00D5250D">
                    <w:rPr>
                      <w:rFonts w:ascii="Geneva" w:eastAsia="Times New Roman" w:hAnsi="Geneva"/>
                      <w:sz w:val="18"/>
                      <w:szCs w:val="18"/>
                    </w:rPr>
                    <w:t xml:space="preserve"> </w:t>
                  </w:r>
                  <w:proofErr w:type="spellStart"/>
                  <w:r w:rsidR="0062281C" w:rsidRPr="00D5250D">
                    <w:rPr>
                      <w:rFonts w:ascii="Geneva" w:hAnsi="Geneva"/>
                      <w:sz w:val="18"/>
                      <w:szCs w:val="18"/>
                    </w:rPr>
                    <w:t>Valsts</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ieņēmumu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dienesta</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publiskojamo</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datu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bāzē</w:t>
                  </w:r>
                  <w:proofErr w:type="spellEnd"/>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D5250D"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Index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Index1"/>
              <w:numPr>
                <w:ilvl w:val="1"/>
                <w:numId w:val="20"/>
              </w:numPr>
              <w:rPr>
                <w:rFonts w:ascii="Geneva" w:hAnsi="Geneva"/>
                <w:color w:val="auto"/>
              </w:rPr>
            </w:pPr>
            <w:r w:rsidRPr="00D5250D">
              <w:rPr>
                <w:rFonts w:ascii="Geneva" w:hAnsi="Geneva"/>
                <w:color w:val="auto"/>
              </w:rPr>
              <w:t xml:space="preserve"> Pretendentam jānorāda visus apakšuzņēmējus, un apakšuzņēmēja </w:t>
            </w:r>
            <w:r w:rsidRPr="00D5250D">
              <w:rPr>
                <w:rFonts w:ascii="Geneva" w:hAnsi="Geneva"/>
                <w:color w:val="auto"/>
              </w:rPr>
              <w:lastRenderedPageBreak/>
              <w:t xml:space="preserve">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1B34DAA3" w:rsidR="00B00CE2" w:rsidRPr="00D5250D" w:rsidRDefault="0062281C" w:rsidP="003C527A">
            <w:pPr>
              <w:pStyle w:val="Index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hyperlink r:id="rId11" w:history="1">
              <w:r w:rsidR="00B00CE2" w:rsidRPr="00D5250D">
                <w:rPr>
                  <w:rStyle w:val="Hyperlink"/>
                  <w:rFonts w:ascii="Geneva" w:hAnsi="Geneva"/>
                  <w:color w:val="auto"/>
                </w:rPr>
                <w:t>http://www.iub.gov.lv/sites/default/files/upload/1_LV_annexe_acte_autonome_part1_v4.doc</w:t>
              </w:r>
            </w:hyperlink>
            <w:r w:rsidR="00B00CE2" w:rsidRPr="00D5250D">
              <w:rPr>
                <w:rFonts w:ascii="Geneva" w:hAnsi="Geneva"/>
                <w:color w:val="auto"/>
              </w:rPr>
              <w:t xml:space="preserve"> vai Eiropas Komisijas mājaslapā tiešsaistes režīmā: </w:t>
            </w:r>
            <w:hyperlink r:id="rId12" w:history="1">
              <w:r w:rsidR="00B00CE2" w:rsidRPr="00D5250D">
                <w:rPr>
                  <w:rStyle w:val="Hyperlink"/>
                  <w:rFonts w:ascii="Geneva" w:hAnsi="Geneva"/>
                  <w:color w:val="auto"/>
                </w:rPr>
                <w:t>https://ec.europa.eu/growth/tools-databases/espd/filter?lang=lv</w:t>
              </w:r>
            </w:hyperlink>
            <w:r w:rsidR="00B00CE2" w:rsidRPr="00D5250D">
              <w:rPr>
                <w:rFonts w:ascii="Geneva" w:hAnsi="Geneva"/>
                <w:color w:val="auto"/>
              </w:rPr>
              <w:t>.</w:t>
            </w:r>
          </w:p>
          <w:p w14:paraId="250D4A64" w14:textId="72511631"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w:t>
            </w:r>
            <w:r w:rsidRPr="00D5250D">
              <w:rPr>
                <w:rFonts w:ascii="Geneva" w:hAnsi="Geneva"/>
                <w:color w:val="auto"/>
              </w:rPr>
              <w:lastRenderedPageBreak/>
              <w:t>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ListParagraph"/>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4.1.2. The Tenderer's representative who has signed the Tender documents shall have the right of representation </w:t>
                  </w:r>
                  <w:r w:rsidRPr="00D5250D">
                    <w:rPr>
                      <w:rFonts w:ascii="Geneva" w:hAnsi="Geneva" w:cs="Arial"/>
                      <w:sz w:val="18"/>
                      <w:szCs w:val="18"/>
                    </w:rPr>
                    <w:lastRenderedPageBreak/>
                    <w:t>(signatory powers).</w:t>
                  </w:r>
                </w:p>
                <w:p w14:paraId="572D1C42" w14:textId="77777777" w:rsidR="004029AE" w:rsidRPr="00D5250D"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lastRenderedPageBreak/>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w:t>
                  </w:r>
                  <w:r w:rsidRPr="00D5250D">
                    <w:rPr>
                      <w:rFonts w:ascii="Geneva" w:hAnsi="Geneva" w:cs="Arial"/>
                      <w:sz w:val="18"/>
                      <w:szCs w:val="18"/>
                    </w:rPr>
                    <w:lastRenderedPageBreak/>
                    <w:t xml:space="preserve">(represent)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ListParagraph"/>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lastRenderedPageBreak/>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ListParagraph"/>
                    <w:ind w:left="0"/>
                    <w:jc w:val="both"/>
                    <w:rPr>
                      <w:rFonts w:ascii="Geneva" w:hAnsi="Geneva" w:cs="Arial"/>
                      <w:sz w:val="18"/>
                      <w:szCs w:val="18"/>
                    </w:rPr>
                  </w:pPr>
                  <w:r w:rsidRPr="00D5250D">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D5250D"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r w:rsidRPr="00D5250D">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D5250D" w:rsidRDefault="004029AE" w:rsidP="00073AD3">
            <w:pPr>
              <w:pStyle w:val="Index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Index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Index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 xml:space="preserve">In the event that the Tender is submitted by an association of individuals or legal </w:t>
            </w:r>
            <w:r w:rsidR="004029AE" w:rsidRPr="00D5250D">
              <w:rPr>
                <w:rFonts w:ascii="Geneva" w:hAnsi="Geneva"/>
                <w:color w:val="auto"/>
              </w:rPr>
              <w:lastRenderedPageBreak/>
              <w:t>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Index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Index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and about and the subcontractor indicated, whose value of services to be 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Index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Index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hyperlink r:id="rId13">
              <w:r w:rsidR="004029AE" w:rsidRPr="00D5250D">
                <w:rPr>
                  <w:rStyle w:val="Hyperlink"/>
                  <w:rFonts w:ascii="Geneva" w:hAnsi="Geneva"/>
                  <w:color w:val="auto"/>
                </w:rPr>
                <w:t>http://www.iub.gov.lv/sites/default/files/upload/1_LV_annexe_acte_autonome_part1_v4.doc</w:t>
              </w:r>
            </w:hyperlink>
            <w:r w:rsidR="004029AE" w:rsidRPr="00D5250D">
              <w:rPr>
                <w:rFonts w:ascii="Geneva" w:hAnsi="Geneva"/>
                <w:color w:val="auto"/>
              </w:rPr>
              <w:t xml:space="preserve"> or on the website of the European Commission in on-line mode: </w:t>
            </w:r>
            <w:hyperlink r:id="rId14">
              <w:r w:rsidR="004029AE" w:rsidRPr="00D5250D">
                <w:rPr>
                  <w:rStyle w:val="Hyperlink"/>
                  <w:rFonts w:ascii="Geneva" w:hAnsi="Geneva"/>
                  <w:color w:val="auto"/>
                </w:rPr>
                <w:t>https://ec.europa.eu/growth/tools-databases/espd/filter?lang=lv</w:t>
              </w:r>
            </w:hyperlink>
            <w:r w:rsidR="004029AE" w:rsidRPr="00D5250D">
              <w:rPr>
                <w:rFonts w:ascii="Geneva" w:hAnsi="Geneva"/>
                <w:color w:val="auto"/>
              </w:rPr>
              <w:t>.</w:t>
            </w:r>
          </w:p>
          <w:p w14:paraId="5ADFAA51" w14:textId="18DBB1FC" w:rsidR="004029AE" w:rsidRPr="00D5250D" w:rsidRDefault="009C7E6D" w:rsidP="003C527A">
            <w:pPr>
              <w:pStyle w:val="Index1"/>
              <w:rPr>
                <w:rFonts w:ascii="Geneva" w:hAnsi="Geneva"/>
                <w:color w:val="auto"/>
              </w:rPr>
            </w:pPr>
            <w:r w:rsidRPr="00D5250D">
              <w:rPr>
                <w:rFonts w:ascii="Geneva" w:hAnsi="Geneva"/>
                <w:color w:val="auto"/>
              </w:rPr>
              <w:t xml:space="preserve">4.10. </w:t>
            </w:r>
            <w:r w:rsidR="004029AE" w:rsidRPr="00D5250D">
              <w:rPr>
                <w:rFonts w:ascii="Geneva" w:hAnsi="Geneva"/>
                <w:color w:val="auto"/>
              </w:rPr>
              <w:t xml:space="preserve">In the event that the Tenderer to be awarded the right to enter into the Procurement Contract has submitted the ESPD as an initial proof of compliance </w:t>
            </w:r>
            <w:r w:rsidR="004029AE" w:rsidRPr="00D5250D">
              <w:rPr>
                <w:rFonts w:ascii="Geneva" w:hAnsi="Geneva"/>
                <w:color w:val="auto"/>
              </w:rPr>
              <w:lastRenderedPageBreak/>
              <w:t>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ListParagraph"/>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ListParagraph"/>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t>ExplanationS OF Drawing up the Technical AND FINANCIAL Proposal</w:t>
            </w:r>
          </w:p>
          <w:p w14:paraId="6D3880C8" w14:textId="1AA3AC0F" w:rsidR="00053AF8" w:rsidRPr="002C675F" w:rsidRDefault="00053AF8" w:rsidP="00003A95">
            <w:pPr>
              <w:pStyle w:val="ListParagraph"/>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ListParagraph"/>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ListParagraph"/>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2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t xml:space="preserve">Piedāvājumu NOFORMĒJUMA pārbaude UN PRETENDENTU </w:t>
            </w:r>
            <w:r w:rsidRPr="002C675F">
              <w:rPr>
                <w:rFonts w:ascii="Geneva" w:hAnsi="Geneva" w:cs="Arial"/>
                <w:b/>
                <w:caps/>
                <w:sz w:val="18"/>
                <w:szCs w:val="18"/>
                <w:lang w:val="lv-LV"/>
              </w:rPr>
              <w:lastRenderedPageBreak/>
              <w:t>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lastRenderedPageBreak/>
              <w:t xml:space="preserve">6. Examination of Tender FORMAT AND selection of TENDERERs </w:t>
            </w:r>
          </w:p>
          <w:p w14:paraId="38A651F6" w14:textId="77777777" w:rsidR="00290ACB"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lastRenderedPageBreak/>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ListParagraph"/>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 xml:space="preserve">Ja komisija konstatē, ka Pretendents iesniedzis nepamatoti lētu </w:t>
            </w:r>
            <w:r w:rsidRPr="002C675F">
              <w:rPr>
                <w:rFonts w:ascii="Geneva" w:hAnsi="Geneva" w:cs="Arial"/>
                <w:sz w:val="18"/>
                <w:szCs w:val="18"/>
                <w:lang w:val="lv-LV"/>
              </w:rPr>
              <w:lastRenderedPageBreak/>
              <w:t>piedāvājumu, komisija to izslēdz no turpmākās dalības konkursā PIL 53.pantā noteiktajā kārtībā.</w:t>
            </w:r>
          </w:p>
          <w:p w14:paraId="1169F434" w14:textId="77777777" w:rsidR="00B00CE2"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iCs/>
                <w:sz w:val="18"/>
                <w:szCs w:val="18"/>
                <w:lang w:val="lv-LV"/>
              </w:rPr>
              <w:t xml:space="preserve">Pēc finanšu piedāvājuma atbilstības pārbaudes nolikuma prasībām, komisija izvēlas </w:t>
            </w:r>
            <w:r w:rsidRPr="002C675F">
              <w:rPr>
                <w:rFonts w:ascii="Geneva" w:hAnsi="Geneva" w:cs="Arial"/>
                <w:sz w:val="18"/>
                <w:szCs w:val="18"/>
                <w:lang w:val="lv-LV"/>
              </w:rPr>
              <w:t>nolikuma prasībām atbilstošu saimnieciski vsizdevīgāko piedāvājumu, kuru nosaka, ņemot vērā tikai cenu.</w:t>
            </w:r>
          </w:p>
          <w:p w14:paraId="28CA1DB9" w14:textId="77777777" w:rsidR="00761A6A" w:rsidRPr="002C675F" w:rsidRDefault="00761A6A" w:rsidP="00761A6A">
            <w:pPr>
              <w:pStyle w:val="BodyTextIndent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BodyTextIndent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lastRenderedPageBreak/>
              <w:t>8. Compliance Examination of the Financial Proposal</w:t>
            </w:r>
          </w:p>
          <w:p w14:paraId="5C89D167"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38896F8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lastRenderedPageBreak/>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2D69C8CF" w:rsidR="00B00CE2"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2C675F"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2C675F">
              <w:rPr>
                <w:rFonts w:ascii="Geneva" w:hAnsi="Geneva" w:cs="Arial"/>
                <w:b/>
                <w:caps/>
                <w:sz w:val="18"/>
                <w:szCs w:val="18"/>
                <w:lang w:val="lv-LV"/>
              </w:rPr>
              <w:lastRenderedPageBreak/>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053AF8">
            <w:pPr>
              <w:widowControl w:val="0"/>
              <w:numPr>
                <w:ilvl w:val="1"/>
                <w:numId w:val="28"/>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2C675F" w:rsidRDefault="00053AF8" w:rsidP="00053AF8">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rPr>
            </w:pPr>
            <w:r w:rsidRPr="002C675F">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17B77E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The Commission shall identify the Tenderer who meets all the requirements laid down in the Regulations and has offered the most economically advantageous Tender in terms of price only as the winner of the Procurement to be awarded the right to enter into the Contract.</w:t>
            </w:r>
          </w:p>
          <w:p w14:paraId="78B4CD4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C675F">
              <w:rPr>
                <w:rStyle w:val="FontStyle30"/>
                <w:rFonts w:ascii="Geneva" w:hAnsi="Geneva" w:cs="Arial"/>
                <w:sz w:val="18"/>
                <w:szCs w:val="18"/>
              </w:rPr>
              <w:t xml:space="preserve">The Contracting Authority 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E134C">
            <w:pPr>
              <w:widowControl w:val="0"/>
              <w:numPr>
                <w:ilvl w:val="1"/>
                <w:numId w:val="27"/>
              </w:numPr>
              <w:ind w:left="601" w:hanging="426"/>
              <w:jc w:val="both"/>
              <w:rPr>
                <w:rFonts w:ascii="Geneva" w:hAnsi="Geneva" w:cs="Arial"/>
                <w:sz w:val="18"/>
                <w:szCs w:val="18"/>
              </w:rPr>
            </w:pPr>
            <w:r w:rsidRPr="002C675F">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2C675F" w:rsidRDefault="00B00CE2" w:rsidP="00B00CE2">
            <w:pPr>
              <w:keepNext/>
              <w:widowControl w:val="0"/>
              <w:jc w:val="center"/>
              <w:rPr>
                <w:rFonts w:ascii="Geneva" w:hAnsi="Geneva" w:cs="Arial"/>
                <w:b/>
                <w:bCs/>
                <w:sz w:val="18"/>
                <w:szCs w:val="18"/>
                <w:lang w:val="lv-LV"/>
              </w:rPr>
            </w:pPr>
            <w:r w:rsidRPr="002C675F">
              <w:rPr>
                <w:rFonts w:ascii="Geneva" w:hAnsi="Geneva" w:cs="Arial"/>
                <w:b/>
                <w:bCs/>
                <w:sz w:val="18"/>
                <w:szCs w:val="18"/>
                <w:lang w:val="lv-LV"/>
              </w:rPr>
              <w:lastRenderedPageBreak/>
              <w:t>10.PIELIKUMI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6D3A537E" w14:textId="3C04966D" w:rsidR="00B00CE2" w:rsidRPr="002C675F" w:rsidRDefault="00B00CE2" w:rsidP="001D7FB7">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2C675F" w:rsidRDefault="00053AF8" w:rsidP="00053AF8">
            <w:pPr>
              <w:keepNext/>
              <w:widowControl w:val="0"/>
              <w:jc w:val="center"/>
              <w:rPr>
                <w:rFonts w:ascii="Geneva" w:hAnsi="Geneva" w:cs="Arial"/>
                <w:b/>
                <w:bCs/>
                <w:sz w:val="18"/>
                <w:szCs w:val="18"/>
              </w:rPr>
            </w:pPr>
            <w:r w:rsidRPr="002C675F">
              <w:rPr>
                <w:rFonts w:ascii="Geneva" w:hAnsi="Geneva" w:cs="Arial"/>
                <w:b/>
                <w:sz w:val="18"/>
                <w:szCs w:val="18"/>
              </w:rPr>
              <w:t>10.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36C16B15" w14:textId="77777777" w:rsidR="00B00CE2" w:rsidRPr="002C675F" w:rsidRDefault="00053AF8" w:rsidP="001D7FB7">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4 – 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5"/>
      <w:footerReference w:type="default" r:id="rId16"/>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9F73" w14:textId="77777777" w:rsidR="0058753E" w:rsidRDefault="0058753E" w:rsidP="00BB20F2">
      <w:r>
        <w:separator/>
      </w:r>
    </w:p>
  </w:endnote>
  <w:endnote w:type="continuationSeparator" w:id="0">
    <w:p w14:paraId="0CCA42B7" w14:textId="77777777" w:rsidR="0058753E" w:rsidRDefault="0058753E"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8753E" w:rsidRDefault="0058753E"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8753E" w:rsidRDefault="0058753E"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3B487CF" w:rsidR="0058753E" w:rsidRPr="00BB20F2" w:rsidRDefault="0058753E"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556D28">
      <w:rPr>
        <w:rStyle w:val="PageNumber"/>
        <w:noProof/>
        <w:sz w:val="20"/>
        <w:szCs w:val="20"/>
      </w:rPr>
      <w:t>1</w:t>
    </w:r>
    <w:r w:rsidRPr="00BB20F2">
      <w:rPr>
        <w:rStyle w:val="PageNumber"/>
        <w:sz w:val="20"/>
        <w:szCs w:val="20"/>
      </w:rPr>
      <w:fldChar w:fldCharType="end"/>
    </w:r>
  </w:p>
  <w:p w14:paraId="03F2356C" w14:textId="77777777" w:rsidR="0058753E" w:rsidRDefault="0058753E"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250" w14:textId="77777777" w:rsidR="0058753E" w:rsidRDefault="0058753E" w:rsidP="00BB20F2">
      <w:r>
        <w:separator/>
      </w:r>
    </w:p>
  </w:footnote>
  <w:footnote w:type="continuationSeparator" w:id="0">
    <w:p w14:paraId="44563680" w14:textId="77777777" w:rsidR="0058753E" w:rsidRDefault="0058753E" w:rsidP="00BB20F2">
      <w:r>
        <w:continuationSeparator/>
      </w:r>
    </w:p>
  </w:footnote>
  <w:footnote w:id="1">
    <w:p w14:paraId="781B5A50" w14:textId="77777777" w:rsidR="0058753E" w:rsidRPr="00670CE1" w:rsidRDefault="0058753E" w:rsidP="00B00CE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58753E" w:rsidRPr="00670DB3" w:rsidRDefault="0058753E"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58753E" w:rsidRPr="00670DB3" w:rsidRDefault="0058753E"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w:t>
      </w:r>
      <w:r w:rsidRPr="00E316A8">
        <w:rPr>
          <w:sz w:val="18"/>
          <w:szCs w:val="18"/>
          <w:lang w:val="lv-LV"/>
        </w:rPr>
        <w:t xml:space="preserve">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58753E" w:rsidRPr="00670DB3" w:rsidRDefault="0058753E"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58753E" w:rsidRPr="00670DB3" w:rsidRDefault="0058753E"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 w:id="6">
    <w:p w14:paraId="1B5CF9E8" w14:textId="77777777" w:rsidR="0058753E" w:rsidRPr="00412ECA" w:rsidRDefault="0058753E" w:rsidP="00E96B4E">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0">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3">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7">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8">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8">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6"/>
  </w:num>
  <w:num w:numId="2">
    <w:abstractNumId w:val="5"/>
  </w:num>
  <w:num w:numId="3">
    <w:abstractNumId w:val="2"/>
  </w:num>
  <w:num w:numId="4">
    <w:abstractNumId w:val="15"/>
  </w:num>
  <w:num w:numId="5">
    <w:abstractNumId w:val="7"/>
  </w:num>
  <w:num w:numId="6">
    <w:abstractNumId w:val="6"/>
  </w:num>
  <w:num w:numId="7">
    <w:abstractNumId w:val="11"/>
  </w:num>
  <w:num w:numId="8">
    <w:abstractNumId w:val="20"/>
  </w:num>
  <w:num w:numId="9">
    <w:abstractNumId w:val="28"/>
  </w:num>
  <w:num w:numId="10">
    <w:abstractNumId w:val="13"/>
  </w:num>
  <w:num w:numId="11">
    <w:abstractNumId w:val="27"/>
  </w:num>
  <w:num w:numId="12">
    <w:abstractNumId w:val="32"/>
  </w:num>
  <w:num w:numId="13">
    <w:abstractNumId w:val="30"/>
  </w:num>
  <w:num w:numId="14">
    <w:abstractNumId w:val="12"/>
  </w:num>
  <w:num w:numId="15">
    <w:abstractNumId w:val="16"/>
  </w:num>
  <w:num w:numId="16">
    <w:abstractNumId w:val="0"/>
  </w:num>
  <w:num w:numId="17">
    <w:abstractNumId w:val="31"/>
  </w:num>
  <w:num w:numId="18">
    <w:abstractNumId w:val="8"/>
  </w:num>
  <w:num w:numId="19">
    <w:abstractNumId w:val="1"/>
  </w:num>
  <w:num w:numId="20">
    <w:abstractNumId w:val="4"/>
  </w:num>
  <w:num w:numId="21">
    <w:abstractNumId w:val="14"/>
  </w:num>
  <w:num w:numId="22">
    <w:abstractNumId w:val="19"/>
  </w:num>
  <w:num w:numId="23">
    <w:abstractNumId w:val="24"/>
  </w:num>
  <w:num w:numId="24">
    <w:abstractNumId w:val="17"/>
  </w:num>
  <w:num w:numId="25">
    <w:abstractNumId w:val="21"/>
  </w:num>
  <w:num w:numId="26">
    <w:abstractNumId w:val="25"/>
  </w:num>
  <w:num w:numId="27">
    <w:abstractNumId w:val="23"/>
  </w:num>
  <w:num w:numId="28">
    <w:abstractNumId w:val="29"/>
  </w:num>
  <w:num w:numId="29">
    <w:abstractNumId w:val="3"/>
  </w:num>
  <w:num w:numId="30">
    <w:abstractNumId w:val="18"/>
  </w:num>
  <w:num w:numId="31">
    <w:abstractNumId w:val="10"/>
  </w:num>
  <w:num w:numId="32">
    <w:abstractNumId w:val="22"/>
  </w:num>
  <w:num w:numId="33">
    <w:abstractNumId w:val="8"/>
    <w:lvlOverride w:ilvl="0">
      <w:startOverride w:val="3"/>
    </w:lvlOverride>
    <w:lvlOverride w:ilvl="1">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214EF"/>
    <w:rsid w:val="00030C17"/>
    <w:rsid w:val="0004221D"/>
    <w:rsid w:val="00053AF8"/>
    <w:rsid w:val="00073AD3"/>
    <w:rsid w:val="00093C51"/>
    <w:rsid w:val="000A3C22"/>
    <w:rsid w:val="000D7387"/>
    <w:rsid w:val="000E4AA9"/>
    <w:rsid w:val="00106BC2"/>
    <w:rsid w:val="00174C52"/>
    <w:rsid w:val="001A734F"/>
    <w:rsid w:val="001B5A6C"/>
    <w:rsid w:val="001C230D"/>
    <w:rsid w:val="001D7FB7"/>
    <w:rsid w:val="001F366E"/>
    <w:rsid w:val="002050E0"/>
    <w:rsid w:val="0020525D"/>
    <w:rsid w:val="0024596C"/>
    <w:rsid w:val="00275A27"/>
    <w:rsid w:val="00290ACB"/>
    <w:rsid w:val="002B7DB7"/>
    <w:rsid w:val="002C675F"/>
    <w:rsid w:val="002D66EC"/>
    <w:rsid w:val="002E134C"/>
    <w:rsid w:val="003621B0"/>
    <w:rsid w:val="00371AC2"/>
    <w:rsid w:val="003A47D7"/>
    <w:rsid w:val="003B567A"/>
    <w:rsid w:val="003C527A"/>
    <w:rsid w:val="003E2EAD"/>
    <w:rsid w:val="004029AE"/>
    <w:rsid w:val="00421FAD"/>
    <w:rsid w:val="004275DC"/>
    <w:rsid w:val="004327FC"/>
    <w:rsid w:val="00444990"/>
    <w:rsid w:val="004E0CAE"/>
    <w:rsid w:val="004F687B"/>
    <w:rsid w:val="00500E58"/>
    <w:rsid w:val="005261A8"/>
    <w:rsid w:val="00540554"/>
    <w:rsid w:val="00556D28"/>
    <w:rsid w:val="00557AAE"/>
    <w:rsid w:val="00561E64"/>
    <w:rsid w:val="00566A30"/>
    <w:rsid w:val="0057386C"/>
    <w:rsid w:val="0058753E"/>
    <w:rsid w:val="005B54C5"/>
    <w:rsid w:val="005C0C1C"/>
    <w:rsid w:val="005E3C1D"/>
    <w:rsid w:val="0062281C"/>
    <w:rsid w:val="00693C69"/>
    <w:rsid w:val="00696ACB"/>
    <w:rsid w:val="006972A7"/>
    <w:rsid w:val="006B6D70"/>
    <w:rsid w:val="007158F5"/>
    <w:rsid w:val="00761A6A"/>
    <w:rsid w:val="00781489"/>
    <w:rsid w:val="00827F23"/>
    <w:rsid w:val="00882DE1"/>
    <w:rsid w:val="00942D1F"/>
    <w:rsid w:val="009C7E6D"/>
    <w:rsid w:val="009E2FE3"/>
    <w:rsid w:val="009F0841"/>
    <w:rsid w:val="009F7A9C"/>
    <w:rsid w:val="00A44D1F"/>
    <w:rsid w:val="00A66E33"/>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CE73C0"/>
    <w:rsid w:val="00D03263"/>
    <w:rsid w:val="00D46DF7"/>
    <w:rsid w:val="00D5250D"/>
    <w:rsid w:val="00D63F52"/>
    <w:rsid w:val="00D67EE2"/>
    <w:rsid w:val="00E23A75"/>
    <w:rsid w:val="00E46257"/>
    <w:rsid w:val="00E96B4E"/>
    <w:rsid w:val="00EC2569"/>
    <w:rsid w:val="00EC3F18"/>
    <w:rsid w:val="00EE2B77"/>
    <w:rsid w:val="00F00DE3"/>
    <w:rsid w:val="00F0557B"/>
    <w:rsid w:val="00F10167"/>
    <w:rsid w:val="00F320D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7678</Words>
  <Characters>43767</Characters>
  <Application>Microsoft Macintosh Word</Application>
  <DocSecurity>0</DocSecurity>
  <Lines>364</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4</cp:revision>
  <cp:lastPrinted>2018-06-28T13:10:00Z</cp:lastPrinted>
  <dcterms:created xsi:type="dcterms:W3CDTF">2019-01-27T20:22:00Z</dcterms:created>
  <dcterms:modified xsi:type="dcterms:W3CDTF">2019-01-27T20:33:00Z</dcterms:modified>
</cp:coreProperties>
</file>