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D4" w:rsidRDefault="00800AF5" w:rsidP="00AA7AD4">
      <w:pPr>
        <w:spacing w:after="0" w:line="240" w:lineRule="auto"/>
        <w:jc w:val="center"/>
        <w:rPr>
          <w:rFonts w:ascii="Times New Roman" w:hAnsi="Times New Roman"/>
          <w:b/>
          <w:caps/>
          <w:sz w:val="24"/>
          <w:szCs w:val="24"/>
        </w:rPr>
      </w:pPr>
      <w:r>
        <w:rPr>
          <w:rFonts w:ascii="Times New Roman" w:hAnsi="Times New Roman"/>
          <w:b/>
          <w:sz w:val="24"/>
          <w:szCs w:val="24"/>
        </w:rPr>
        <w:t>Augšup-pārveidotā luminiscence ar erbija un iterbija joniem aktivētā NaLaF</w:t>
      </w:r>
      <w:r>
        <w:rPr>
          <w:rFonts w:ascii="Times New Roman" w:hAnsi="Times New Roman"/>
          <w:b/>
          <w:sz w:val="24"/>
          <w:szCs w:val="24"/>
          <w:vertAlign w:val="subscript"/>
        </w:rPr>
        <w:t>4</w:t>
      </w:r>
      <w:r>
        <w:rPr>
          <w:rFonts w:ascii="Times New Roman" w:hAnsi="Times New Roman"/>
          <w:b/>
          <w:sz w:val="24"/>
          <w:szCs w:val="24"/>
        </w:rPr>
        <w:t xml:space="preserve"> materiālā</w:t>
      </w:r>
    </w:p>
    <w:p w:rsidR="00AA7AD4" w:rsidRDefault="00AA7AD4" w:rsidP="00AA7AD4">
      <w:pPr>
        <w:spacing w:after="0" w:line="240" w:lineRule="auto"/>
        <w:jc w:val="both"/>
      </w:pPr>
    </w:p>
    <w:p w:rsidR="00AA7AD4" w:rsidRDefault="00AA7AD4" w:rsidP="00AA7AD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u w:val="single"/>
        </w:rPr>
        <w:t>J</w:t>
      </w:r>
      <w:r w:rsidR="00C4688B">
        <w:rPr>
          <w:rFonts w:ascii="Times New Roman" w:hAnsi="Times New Roman"/>
          <w:color w:val="000000"/>
          <w:u w:val="single"/>
        </w:rPr>
        <w:t>ānis</w:t>
      </w:r>
      <w:r>
        <w:rPr>
          <w:rFonts w:ascii="Times New Roman" w:hAnsi="Times New Roman"/>
          <w:color w:val="000000"/>
          <w:u w:val="single"/>
        </w:rPr>
        <w:t xml:space="preserve"> </w:t>
      </w:r>
      <w:r w:rsidR="001F1D2A">
        <w:rPr>
          <w:rFonts w:ascii="Times New Roman" w:hAnsi="Times New Roman"/>
          <w:color w:val="000000"/>
          <w:u w:val="single"/>
        </w:rPr>
        <w:t>Kociņš</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Zirdziņš</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Zāle</w:t>
      </w:r>
      <w:r w:rsidR="00E67865" w:rsidRPr="00E67865">
        <w:rPr>
          <w:rFonts w:ascii="Times New Roman" w:hAnsi="Times New Roman"/>
          <w:color w:val="000000"/>
          <w:vertAlign w:val="superscript"/>
        </w:rPr>
        <w:t>2</w:t>
      </w:r>
      <w:r w:rsidR="00C4688B">
        <w:rPr>
          <w:rFonts w:ascii="Times New Roman" w:hAnsi="Times New Roman"/>
          <w:color w:val="000000"/>
        </w:rPr>
        <w:t>, Dagnija</w:t>
      </w:r>
      <w:r>
        <w:rPr>
          <w:rFonts w:ascii="Times New Roman" w:hAnsi="Times New Roman"/>
          <w:color w:val="000000"/>
        </w:rPr>
        <w:t xml:space="preserve"> Smilga</w:t>
      </w:r>
      <w:r w:rsidR="00E67865" w:rsidRPr="00E67865">
        <w:rPr>
          <w:rFonts w:ascii="Times New Roman" w:hAnsi="Times New Roman"/>
          <w:color w:val="000000"/>
          <w:vertAlign w:val="superscript"/>
        </w:rPr>
        <w:t>2</w:t>
      </w:r>
    </w:p>
    <w:p w:rsidR="00AA7AD4" w:rsidRDefault="00E67865" w:rsidP="00AA7AD4">
      <w:pPr>
        <w:autoSpaceDE w:val="0"/>
        <w:autoSpaceDN w:val="0"/>
        <w:adjustRightInd w:val="0"/>
        <w:spacing w:after="0" w:line="240" w:lineRule="auto"/>
        <w:jc w:val="center"/>
        <w:rPr>
          <w:rFonts w:ascii="Times New Roman" w:hAnsi="Times New Roman"/>
          <w:i/>
          <w:iCs/>
          <w:color w:val="000000"/>
        </w:rPr>
      </w:pPr>
      <w:r w:rsidRPr="00E67865">
        <w:rPr>
          <w:rFonts w:ascii="Times New Roman" w:hAnsi="Times New Roman"/>
          <w:i/>
          <w:iCs/>
          <w:color w:val="000000"/>
          <w:vertAlign w:val="superscript"/>
        </w:rPr>
        <w:t>1</w:t>
      </w:r>
      <w:r w:rsidR="00AA7AD4">
        <w:rPr>
          <w:rFonts w:ascii="Times New Roman" w:hAnsi="Times New Roman"/>
          <w:i/>
          <w:iCs/>
          <w:color w:val="000000"/>
        </w:rPr>
        <w:t xml:space="preserve">Latvijas Universitātes Cietvielu fizikas institūts </w:t>
      </w:r>
      <w:r w:rsidR="00AA7AD4">
        <w:rPr>
          <w:rFonts w:ascii="Times New Roman" w:hAnsi="Times New Roman"/>
          <w:i/>
          <w:iCs/>
          <w:color w:val="000000"/>
        </w:rPr>
        <w:br/>
      </w:r>
      <w:r>
        <w:rPr>
          <w:rFonts w:ascii="Times New Roman" w:hAnsi="Times New Roman"/>
          <w:i/>
          <w:iCs/>
          <w:color w:val="000000"/>
          <w:vertAlign w:val="superscript"/>
        </w:rPr>
        <w:t>2</w:t>
      </w:r>
      <w:r>
        <w:rPr>
          <w:rFonts w:ascii="Times New Roman" w:hAnsi="Times New Roman"/>
          <w:i/>
          <w:iCs/>
          <w:color w:val="000000"/>
        </w:rPr>
        <w:t xml:space="preserve">Rīgas Tehniskās universitātes Neorganiskās ķīmijas institūts </w:t>
      </w:r>
      <w:r>
        <w:rPr>
          <w:rFonts w:ascii="Times New Roman" w:hAnsi="Times New Roman"/>
          <w:i/>
          <w:iCs/>
          <w:color w:val="000000"/>
        </w:rPr>
        <w:br/>
      </w:r>
    </w:p>
    <w:p w:rsidR="00AA7AD4" w:rsidRDefault="00AA7AD4" w:rsidP="00AA7AD4">
      <w:pPr>
        <w:autoSpaceDE w:val="0"/>
        <w:autoSpaceDN w:val="0"/>
        <w:adjustRightInd w:val="0"/>
        <w:spacing w:after="0" w:line="240" w:lineRule="auto"/>
        <w:jc w:val="center"/>
      </w:pP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Augšup-pārveidotās (AP) luminiscences procesi ar augstu efektivitāti novērojami dažādos ar retzemju (RE) elementiem aktivētos materiālos. Ir zināms, ka lielākā daļa fluorīdu kristālu var tikt veiksmīgi izmantota kā pamatviela ar RE elementiem aktivētu materiālu sintēzē.</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Darba gaitā sintezēti NaLaF</w:t>
      </w:r>
      <w:r>
        <w:rPr>
          <w:rFonts w:ascii="Times New Roman" w:hAnsi="Times New Roman"/>
          <w:sz w:val="24"/>
          <w:szCs w:val="24"/>
          <w:vertAlign w:val="subscript"/>
        </w:rPr>
        <w:t>4</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,Yb</w:t>
      </w:r>
      <w:r>
        <w:rPr>
          <w:rFonts w:ascii="Times New Roman" w:hAnsi="Times New Roman"/>
          <w:sz w:val="24"/>
          <w:szCs w:val="24"/>
          <w:vertAlign w:val="superscript"/>
        </w:rPr>
        <w:t>3+</w:t>
      </w:r>
      <w:r>
        <w:rPr>
          <w:rFonts w:ascii="Times New Roman" w:hAnsi="Times New Roman"/>
          <w:sz w:val="24"/>
          <w:szCs w:val="24"/>
        </w:rPr>
        <w:t xml:space="preserve"> paraugi ar Er</w:t>
      </w:r>
      <w:r>
        <w:rPr>
          <w:rFonts w:ascii="Times New Roman" w:hAnsi="Times New Roman"/>
          <w:sz w:val="24"/>
          <w:szCs w:val="24"/>
          <w:vertAlign w:val="superscript"/>
        </w:rPr>
        <w:t>3+</w:t>
      </w:r>
      <w:r>
        <w:rPr>
          <w:rFonts w:ascii="Times New Roman" w:hAnsi="Times New Roman"/>
          <w:sz w:val="24"/>
          <w:szCs w:val="24"/>
        </w:rPr>
        <w:t xml:space="preserve"> koncentrāciju 0.5 mol% un Yb</w:t>
      </w:r>
      <w:r>
        <w:rPr>
          <w:rFonts w:ascii="Times New Roman" w:hAnsi="Times New Roman"/>
          <w:sz w:val="24"/>
          <w:szCs w:val="24"/>
          <w:vertAlign w:val="superscript"/>
        </w:rPr>
        <w:t>3+</w:t>
      </w:r>
      <w:r>
        <w:rPr>
          <w:rFonts w:ascii="Times New Roman" w:hAnsi="Times New Roman"/>
          <w:sz w:val="24"/>
          <w:szCs w:val="24"/>
        </w:rPr>
        <w:t xml:space="preserve"> koncentrācijām: 0.0 mol%, 0.5 mol% un 2.0 mol%.</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Paraugiem, tos ierosinot ar starojumu infrasarkanajā spektra apgabalā, tika izmērīti AP luminiscences spektri un luminiscences kinētikas. AP luminiscences spektros ir redzamas tipiskas Er</w:t>
      </w:r>
      <w:r>
        <w:rPr>
          <w:rFonts w:ascii="Times New Roman" w:hAnsi="Times New Roman"/>
          <w:sz w:val="24"/>
          <w:szCs w:val="24"/>
          <w:vertAlign w:val="superscript"/>
        </w:rPr>
        <w:t>3+</w:t>
      </w:r>
      <w:r>
        <w:rPr>
          <w:rFonts w:ascii="Times New Roman" w:hAnsi="Times New Roman"/>
          <w:sz w:val="24"/>
          <w:szCs w:val="24"/>
        </w:rPr>
        <w:t xml:space="preserve"> luminiscences joslas. Ir konstatēts, ka, pieaugot Yb</w:t>
      </w:r>
      <w:r>
        <w:rPr>
          <w:rFonts w:ascii="Times New Roman" w:hAnsi="Times New Roman"/>
          <w:sz w:val="24"/>
          <w:szCs w:val="24"/>
          <w:vertAlign w:val="superscript"/>
        </w:rPr>
        <w:t>3+</w:t>
      </w:r>
      <w:r>
        <w:rPr>
          <w:rFonts w:ascii="Times New Roman" w:hAnsi="Times New Roman"/>
          <w:sz w:val="24"/>
          <w:szCs w:val="24"/>
        </w:rPr>
        <w:t xml:space="preserve"> koncentrācijai paraugā, būtiski pieaug AP luminiscences intensitāte, savukārt no kinētiku pētījumiem kļuva skaidrs, ka, pieaugot Yb</w:t>
      </w:r>
      <w:r>
        <w:rPr>
          <w:rFonts w:ascii="Times New Roman" w:hAnsi="Times New Roman"/>
          <w:sz w:val="24"/>
          <w:szCs w:val="24"/>
          <w:vertAlign w:val="superscript"/>
        </w:rPr>
        <w:t>3+</w:t>
      </w:r>
      <w:r>
        <w:rPr>
          <w:rFonts w:ascii="Times New Roman" w:hAnsi="Times New Roman"/>
          <w:sz w:val="24"/>
          <w:szCs w:val="24"/>
        </w:rPr>
        <w:t xml:space="preserve"> daudzumam paraugos, AP luminiscences mehānismi mainās no ierosinātā stāvokļa absorbcijas un enerģijas pārneses starp Er</w:t>
      </w:r>
      <w:r>
        <w:rPr>
          <w:rFonts w:ascii="Times New Roman" w:hAnsi="Times New Roman"/>
          <w:sz w:val="24"/>
          <w:szCs w:val="24"/>
          <w:vertAlign w:val="superscript"/>
        </w:rPr>
        <w:t>3+</w:t>
      </w:r>
      <w:r>
        <w:rPr>
          <w:rFonts w:ascii="Times New Roman" w:hAnsi="Times New Roman"/>
          <w:sz w:val="24"/>
          <w:szCs w:val="24"/>
        </w:rPr>
        <w:t xml:space="preserve"> joniem uz enerģijas pārnesi starp Yb</w:t>
      </w:r>
      <w:r>
        <w:rPr>
          <w:rFonts w:ascii="Times New Roman" w:hAnsi="Times New Roman"/>
          <w:sz w:val="24"/>
          <w:szCs w:val="24"/>
          <w:vertAlign w:val="superscript"/>
        </w:rPr>
        <w:t>3+</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 xml:space="preserve"> joniem.</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Apkopojot rezultātus, tika izdarīti secinājumi par Yb</w:t>
      </w:r>
      <w:r>
        <w:rPr>
          <w:rFonts w:ascii="Times New Roman" w:hAnsi="Times New Roman"/>
          <w:sz w:val="24"/>
          <w:szCs w:val="24"/>
          <w:vertAlign w:val="superscript"/>
        </w:rPr>
        <w:t>3+</w:t>
      </w:r>
      <w:r>
        <w:rPr>
          <w:rFonts w:ascii="Times New Roman" w:hAnsi="Times New Roman"/>
          <w:sz w:val="24"/>
          <w:szCs w:val="24"/>
        </w:rPr>
        <w:t xml:space="preserve"> koncentrācijas ietekmi uz ar Er</w:t>
      </w:r>
      <w:r>
        <w:rPr>
          <w:rFonts w:ascii="Times New Roman" w:hAnsi="Times New Roman"/>
          <w:sz w:val="24"/>
          <w:szCs w:val="24"/>
          <w:vertAlign w:val="superscript"/>
        </w:rPr>
        <w:t>3+</w:t>
      </w:r>
      <w:r>
        <w:rPr>
          <w:rFonts w:ascii="Times New Roman" w:hAnsi="Times New Roman"/>
          <w:sz w:val="24"/>
          <w:szCs w:val="24"/>
        </w:rPr>
        <w:t xml:space="preserve"> un Yb</w:t>
      </w:r>
      <w:r>
        <w:rPr>
          <w:rFonts w:ascii="Times New Roman" w:hAnsi="Times New Roman"/>
          <w:sz w:val="24"/>
          <w:szCs w:val="24"/>
          <w:vertAlign w:val="superscript"/>
        </w:rPr>
        <w:t>3+</w:t>
      </w:r>
      <w:r>
        <w:rPr>
          <w:rFonts w:ascii="Times New Roman" w:hAnsi="Times New Roman"/>
          <w:sz w:val="24"/>
          <w:szCs w:val="24"/>
        </w:rPr>
        <w:t xml:space="preserve"> aktivēta NaLaF</w:t>
      </w:r>
      <w:r>
        <w:rPr>
          <w:rFonts w:ascii="Times New Roman" w:hAnsi="Times New Roman"/>
          <w:sz w:val="24"/>
          <w:szCs w:val="24"/>
          <w:vertAlign w:val="subscript"/>
        </w:rPr>
        <w:t>4</w:t>
      </w:r>
      <w:r>
        <w:rPr>
          <w:rFonts w:ascii="Times New Roman" w:hAnsi="Times New Roman"/>
          <w:sz w:val="24"/>
          <w:szCs w:val="24"/>
        </w:rPr>
        <w:t xml:space="preserve"> materiāla optiskajām īpašībām.</w:t>
      </w:r>
    </w:p>
    <w:p w:rsidR="00AA7AD4" w:rsidRDefault="00AA7AD4" w:rsidP="00AA7AD4">
      <w:pPr>
        <w:spacing w:after="0" w:line="240" w:lineRule="auto"/>
      </w:pPr>
    </w:p>
    <w:p w:rsidR="00AA7AD4" w:rsidRDefault="00AA7AD4" w:rsidP="00AA7AD4">
      <w:pPr>
        <w:spacing w:after="0" w:line="240" w:lineRule="auto"/>
      </w:pPr>
    </w:p>
    <w:p w:rsidR="00AA7AD4" w:rsidRDefault="00800AF5" w:rsidP="00AA7AD4">
      <w:pPr>
        <w:pStyle w:val="Heading5"/>
        <w:spacing w:line="240" w:lineRule="auto"/>
        <w:jc w:val="center"/>
        <w:rPr>
          <w:rFonts w:eastAsia="Calibri"/>
          <w:b/>
          <w:caps/>
          <w:sz w:val="24"/>
          <w:lang w:val="en-US"/>
        </w:rPr>
      </w:pPr>
      <w:r>
        <w:rPr>
          <w:rFonts w:eastAsia="Calibri"/>
          <w:b/>
          <w:sz w:val="24"/>
          <w:lang w:val="en-US"/>
        </w:rPr>
        <w:t xml:space="preserve">Up-conversion luminescence of erbium and ytterbium doped </w:t>
      </w:r>
      <w:r>
        <w:rPr>
          <w:rFonts w:eastAsia="Calibri" w:cs="Times New Roman"/>
          <w:b/>
          <w:sz w:val="24"/>
          <w:lang w:val="en-US"/>
        </w:rPr>
        <w:t>N</w:t>
      </w:r>
      <w:r>
        <w:rPr>
          <w:rFonts w:eastAsia="Calibri" w:cs="Times New Roman"/>
          <w:b/>
          <w:sz w:val="24"/>
          <w:lang w:val="en-GB"/>
        </w:rPr>
        <w:t>aLaF</w:t>
      </w:r>
      <w:bookmarkStart w:id="0" w:name="_GoBack"/>
      <w:bookmarkEnd w:id="0"/>
      <w:r>
        <w:rPr>
          <w:rFonts w:eastAsia="Calibri" w:cs="Times New Roman"/>
          <w:b/>
          <w:sz w:val="24"/>
          <w:vertAlign w:val="subscript"/>
          <w:lang w:val="en-GB"/>
        </w:rPr>
        <w:t>4</w:t>
      </w:r>
      <w:r>
        <w:rPr>
          <w:rFonts w:eastAsia="Calibri" w:cs="Times New Roman"/>
          <w:b/>
          <w:sz w:val="24"/>
          <w:lang w:val="en-GB"/>
        </w:rPr>
        <w:t xml:space="preserve"> material</w:t>
      </w:r>
    </w:p>
    <w:p w:rsidR="00AA7AD4" w:rsidRDefault="00AA7AD4" w:rsidP="00AA7AD4">
      <w:pPr>
        <w:pStyle w:val="NormalWeb"/>
        <w:autoSpaceDE w:val="0"/>
        <w:autoSpaceDN w:val="0"/>
        <w:adjustRightInd w:val="0"/>
        <w:spacing w:before="0" w:beforeAutospacing="0" w:after="0" w:afterAutospacing="0"/>
        <w:rPr>
          <w:rFonts w:cs="Arial"/>
          <w:lang w:val="en-GB"/>
        </w:rPr>
      </w:pPr>
    </w:p>
    <w:p w:rsidR="00AA7AD4" w:rsidRDefault="00AA7AD4" w:rsidP="00AA7AD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u w:val="single"/>
        </w:rPr>
        <w:t>J</w:t>
      </w:r>
      <w:r w:rsidR="00C4688B">
        <w:rPr>
          <w:rFonts w:ascii="Times New Roman" w:hAnsi="Times New Roman"/>
          <w:color w:val="000000"/>
          <w:u w:val="single"/>
        </w:rPr>
        <w:t xml:space="preserve">anis </w:t>
      </w:r>
      <w:r w:rsidR="001F1D2A">
        <w:rPr>
          <w:rFonts w:ascii="Times New Roman" w:hAnsi="Times New Roman"/>
          <w:color w:val="000000"/>
          <w:u w:val="single"/>
        </w:rPr>
        <w:t>Kocins</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Zirdzins</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Zale</w:t>
      </w:r>
      <w:r w:rsidR="00E67865" w:rsidRPr="00E67865">
        <w:rPr>
          <w:rFonts w:ascii="Times New Roman" w:hAnsi="Times New Roman"/>
          <w:color w:val="000000"/>
          <w:vertAlign w:val="superscript"/>
        </w:rPr>
        <w:t>2</w:t>
      </w:r>
      <w:r>
        <w:rPr>
          <w:rFonts w:ascii="Times New Roman" w:hAnsi="Times New Roman"/>
          <w:color w:val="000000"/>
        </w:rPr>
        <w:t>, D</w:t>
      </w:r>
      <w:r w:rsidR="00C4688B">
        <w:rPr>
          <w:rFonts w:ascii="Times New Roman" w:hAnsi="Times New Roman"/>
          <w:color w:val="000000"/>
        </w:rPr>
        <w:t>agnija</w:t>
      </w:r>
      <w:r>
        <w:rPr>
          <w:rFonts w:ascii="Times New Roman" w:hAnsi="Times New Roman"/>
          <w:color w:val="000000"/>
        </w:rPr>
        <w:t xml:space="preserve"> Smilga</w:t>
      </w:r>
      <w:r w:rsidR="00E67865" w:rsidRPr="00E67865">
        <w:rPr>
          <w:rFonts w:ascii="Times New Roman" w:hAnsi="Times New Roman"/>
          <w:color w:val="000000"/>
          <w:vertAlign w:val="superscript"/>
        </w:rPr>
        <w:t>2</w:t>
      </w:r>
    </w:p>
    <w:p w:rsidR="00AA7AD4" w:rsidRPr="00E67865" w:rsidRDefault="00E67865" w:rsidP="00AA7AD4">
      <w:pPr>
        <w:autoSpaceDE w:val="0"/>
        <w:autoSpaceDN w:val="0"/>
        <w:adjustRightInd w:val="0"/>
        <w:spacing w:after="0" w:line="240" w:lineRule="auto"/>
        <w:jc w:val="center"/>
        <w:rPr>
          <w:rFonts w:ascii="Times New Roman" w:hAnsi="Times New Roman"/>
          <w:i/>
          <w:color w:val="000000"/>
          <w:lang w:val="en-US"/>
        </w:rPr>
      </w:pPr>
      <w:r w:rsidRPr="00E67865">
        <w:rPr>
          <w:rFonts w:ascii="Times New Roman" w:hAnsi="Times New Roman"/>
          <w:i/>
          <w:iCs/>
          <w:color w:val="000000"/>
          <w:vertAlign w:val="superscript"/>
          <w:lang w:val="en-US"/>
        </w:rPr>
        <w:t>1</w:t>
      </w:r>
      <w:r w:rsidR="00AA7AD4">
        <w:rPr>
          <w:rFonts w:ascii="Times New Roman" w:hAnsi="Times New Roman"/>
          <w:i/>
          <w:iCs/>
          <w:color w:val="000000"/>
          <w:lang w:val="en-US"/>
        </w:rPr>
        <w:t xml:space="preserve">Institute of Solid State Physics, University of Latvia </w:t>
      </w:r>
      <w:r w:rsidR="00AA7AD4">
        <w:rPr>
          <w:rFonts w:ascii="Times New Roman" w:hAnsi="Times New Roman"/>
          <w:i/>
          <w:iCs/>
          <w:color w:val="000000"/>
          <w:lang w:val="en-US"/>
        </w:rPr>
        <w:br/>
      </w:r>
      <w:r w:rsidRPr="00E67865">
        <w:rPr>
          <w:rFonts w:ascii="Times New Roman" w:hAnsi="Times New Roman"/>
          <w:i/>
          <w:color w:val="000000"/>
          <w:vertAlign w:val="superscript"/>
          <w:lang w:val="en-US"/>
        </w:rPr>
        <w:t>2</w:t>
      </w:r>
      <w:r>
        <w:rPr>
          <w:rFonts w:ascii="Times New Roman" w:hAnsi="Times New Roman"/>
          <w:i/>
          <w:color w:val="000000"/>
          <w:lang w:val="en-US"/>
        </w:rPr>
        <w:t>Institute of Inorganic</w:t>
      </w:r>
      <w:r w:rsidRPr="00E67865">
        <w:rPr>
          <w:rFonts w:ascii="Times New Roman" w:hAnsi="Times New Roman"/>
          <w:i/>
          <w:color w:val="000000"/>
          <w:lang w:val="en-US"/>
        </w:rPr>
        <w:t xml:space="preserve"> Chemistry, Riga Technical University</w:t>
      </w:r>
    </w:p>
    <w:p w:rsidR="00AA7AD4" w:rsidRDefault="00AA7AD4" w:rsidP="00AA7AD4">
      <w:pPr>
        <w:spacing w:after="0" w:line="240" w:lineRule="auto"/>
        <w:jc w:val="both"/>
        <w:rPr>
          <w:rFonts w:ascii="Times New Roman" w:hAnsi="Times New Roman"/>
          <w:sz w:val="24"/>
          <w:szCs w:val="24"/>
          <w:lang w:val="en-US"/>
        </w:rPr>
      </w:pP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High efficiency up-conversion (UC) processes are observed in several rare-earth (RE) doped materials. It is known that most of fluoride crystals are suitable matrixes for synthesis of RE doped materials. </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In this work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,Yb</w:t>
      </w:r>
      <w:r>
        <w:rPr>
          <w:rFonts w:ascii="Times New Roman" w:hAnsi="Times New Roman"/>
          <w:sz w:val="24"/>
          <w:szCs w:val="24"/>
          <w:vertAlign w:val="superscript"/>
          <w:lang w:val="en-US"/>
        </w:rPr>
        <w:t>3+</w:t>
      </w:r>
      <w:r>
        <w:rPr>
          <w:rFonts w:ascii="Times New Roman" w:hAnsi="Times New Roman"/>
          <w:sz w:val="24"/>
          <w:szCs w:val="24"/>
          <w:lang w:val="en-US"/>
        </w:rPr>
        <w:t xml:space="preserve"> samples with 0.5 </w:t>
      </w:r>
      <w:proofErr w:type="spellStart"/>
      <w:r>
        <w:rPr>
          <w:rFonts w:ascii="Times New Roman" w:hAnsi="Times New Roman"/>
          <w:sz w:val="24"/>
          <w:szCs w:val="24"/>
          <w:lang w:val="en-US"/>
        </w:rPr>
        <w:t>mol</w:t>
      </w:r>
      <w:proofErr w:type="spellEnd"/>
      <w:r>
        <w:rPr>
          <w:rFonts w:ascii="Times New Roman" w:hAnsi="Times New Roman"/>
          <w:sz w:val="24"/>
          <w:szCs w:val="24"/>
          <w:lang w:val="en-US"/>
        </w:rPr>
        <w:t>% Er</w:t>
      </w:r>
      <w:r>
        <w:rPr>
          <w:rFonts w:ascii="Times New Roman" w:hAnsi="Times New Roman"/>
          <w:sz w:val="24"/>
          <w:szCs w:val="24"/>
          <w:vertAlign w:val="superscript"/>
          <w:lang w:val="en-US"/>
        </w:rPr>
        <w:t>3+</w:t>
      </w:r>
      <w:r>
        <w:rPr>
          <w:rFonts w:ascii="Times New Roman" w:hAnsi="Times New Roman"/>
          <w:sz w:val="24"/>
          <w:szCs w:val="24"/>
          <w:lang w:val="en-US"/>
        </w:rPr>
        <w:t xml:space="preserve"> and different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concentrations: 0.0 </w:t>
      </w:r>
      <w:proofErr w:type="spellStart"/>
      <w:r>
        <w:rPr>
          <w:rFonts w:ascii="Times New Roman" w:hAnsi="Times New Roman"/>
          <w:sz w:val="24"/>
          <w:szCs w:val="24"/>
          <w:lang w:val="en-US"/>
        </w:rPr>
        <w:t>mol</w:t>
      </w:r>
      <w:proofErr w:type="spellEnd"/>
      <w:r>
        <w:rPr>
          <w:rFonts w:ascii="Times New Roman" w:hAnsi="Times New Roman"/>
          <w:sz w:val="24"/>
          <w:szCs w:val="24"/>
          <w:lang w:val="en-US"/>
        </w:rPr>
        <w:t xml:space="preserve">%, 0.5 </w:t>
      </w:r>
      <w:proofErr w:type="spellStart"/>
      <w:r>
        <w:rPr>
          <w:rFonts w:ascii="Times New Roman" w:hAnsi="Times New Roman"/>
          <w:sz w:val="24"/>
          <w:szCs w:val="24"/>
          <w:lang w:val="en-US"/>
        </w:rPr>
        <w:t>mol</w:t>
      </w:r>
      <w:proofErr w:type="spellEnd"/>
      <w:r>
        <w:rPr>
          <w:rFonts w:ascii="Times New Roman" w:hAnsi="Times New Roman"/>
          <w:sz w:val="24"/>
          <w:szCs w:val="24"/>
          <w:lang w:val="en-US"/>
        </w:rPr>
        <w:t xml:space="preserve">% and 2.0 </w:t>
      </w:r>
      <w:proofErr w:type="spellStart"/>
      <w:r>
        <w:rPr>
          <w:rFonts w:ascii="Times New Roman" w:hAnsi="Times New Roman"/>
          <w:sz w:val="24"/>
          <w:szCs w:val="24"/>
          <w:lang w:val="en-US"/>
        </w:rPr>
        <w:t>mol</w:t>
      </w:r>
      <w:proofErr w:type="spellEnd"/>
      <w:r>
        <w:rPr>
          <w:rFonts w:ascii="Times New Roman" w:hAnsi="Times New Roman"/>
          <w:sz w:val="24"/>
          <w:szCs w:val="24"/>
          <w:lang w:val="en-US"/>
        </w:rPr>
        <w:t>%.</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UC luminescence and luminescence kinetics excited in the infrared spectral region were measured. The UC spectra showed presence of luminescence bands typical for Er</w:t>
      </w:r>
      <w:r>
        <w:rPr>
          <w:rFonts w:ascii="Times New Roman" w:hAnsi="Times New Roman"/>
          <w:sz w:val="24"/>
          <w:szCs w:val="24"/>
          <w:vertAlign w:val="superscript"/>
          <w:lang w:val="en-US"/>
        </w:rPr>
        <w:t>3+</w:t>
      </w:r>
      <w:r>
        <w:rPr>
          <w:rFonts w:ascii="Times New Roman" w:hAnsi="Times New Roman"/>
          <w:sz w:val="24"/>
          <w:szCs w:val="24"/>
          <w:lang w:val="en-US"/>
        </w:rPr>
        <w:t>. The intensity of the UC luminescence was considerably higher for the samples with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content. The studies on the decay kinetics of the UC luminescence for the samples at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showed pronounced dominance of energy transfer mechanism between Yb</w:t>
      </w:r>
      <w:r>
        <w:rPr>
          <w:rFonts w:ascii="Times New Roman" w:hAnsi="Times New Roman"/>
          <w:sz w:val="24"/>
          <w:szCs w:val="24"/>
          <w:vertAlign w:val="superscript"/>
          <w:lang w:val="en-US"/>
        </w:rPr>
        <w:t>3+</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xml:space="preserve"> ions over excited state absorption and energy transfer mechanism between Er</w:t>
      </w:r>
      <w:r>
        <w:rPr>
          <w:rFonts w:ascii="Times New Roman" w:hAnsi="Times New Roman"/>
          <w:sz w:val="24"/>
          <w:szCs w:val="24"/>
          <w:vertAlign w:val="superscript"/>
          <w:lang w:val="en-US"/>
        </w:rPr>
        <w:t>3+</w:t>
      </w:r>
      <w:r>
        <w:rPr>
          <w:rFonts w:ascii="Times New Roman" w:hAnsi="Times New Roman"/>
          <w:sz w:val="24"/>
          <w:szCs w:val="24"/>
          <w:lang w:val="en-US"/>
        </w:rPr>
        <w:t xml:space="preserve"> ions.</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Based on the experimental results the impact of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on the optical properties of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Yb</w:t>
      </w:r>
      <w:r>
        <w:rPr>
          <w:rFonts w:ascii="Times New Roman" w:hAnsi="Times New Roman"/>
          <w:sz w:val="24"/>
          <w:szCs w:val="24"/>
          <w:vertAlign w:val="superscript"/>
          <w:lang w:val="en-US"/>
        </w:rPr>
        <w:t>3+</w:t>
      </w:r>
      <w:r>
        <w:rPr>
          <w:rFonts w:ascii="Times New Roman" w:hAnsi="Times New Roman"/>
          <w:sz w:val="24"/>
          <w:szCs w:val="24"/>
          <w:lang w:val="en-US"/>
        </w:rPr>
        <w:t xml:space="preserve"> is discussed.</w:t>
      </w:r>
    </w:p>
    <w:p w:rsidR="00AA7AD4" w:rsidRDefault="00AA7AD4" w:rsidP="00AA7AD4">
      <w:pPr>
        <w:spacing w:after="0" w:line="240" w:lineRule="auto"/>
        <w:ind w:firstLine="567"/>
        <w:jc w:val="both"/>
        <w:rPr>
          <w:rFonts w:ascii="Times New Roman" w:hAnsi="Times New Roman"/>
          <w:sz w:val="24"/>
          <w:szCs w:val="24"/>
          <w:lang w:val="en-US"/>
        </w:rPr>
      </w:pPr>
    </w:p>
    <w:p w:rsidR="00AA7AD4" w:rsidRDefault="00AA7AD4" w:rsidP="00AA7AD4">
      <w:pPr>
        <w:spacing w:after="0" w:line="240" w:lineRule="auto"/>
        <w:ind w:firstLine="567"/>
        <w:jc w:val="both"/>
        <w:rPr>
          <w:rFonts w:ascii="Times New Roman" w:hAnsi="Times New Roman"/>
          <w:sz w:val="24"/>
          <w:szCs w:val="24"/>
          <w:lang w:val="en-US"/>
        </w:rPr>
      </w:pPr>
    </w:p>
    <w:p w:rsidR="00AA7AD4" w:rsidRPr="00AA7AD4" w:rsidRDefault="00AA7AD4" w:rsidP="00AA7AD4">
      <w:pPr>
        <w:spacing w:after="0" w:line="240" w:lineRule="auto"/>
        <w:jc w:val="both"/>
        <w:rPr>
          <w:rFonts w:ascii="Times New Roman" w:hAnsi="Times New Roman"/>
          <w:sz w:val="24"/>
          <w:szCs w:val="24"/>
          <w:lang w:val="en-US"/>
        </w:rPr>
      </w:pPr>
      <w:r w:rsidRPr="00AA7AD4">
        <w:rPr>
          <w:rFonts w:ascii="Times New Roman" w:hAnsi="Times New Roman"/>
          <w:sz w:val="24"/>
          <w:szCs w:val="24"/>
          <w:lang w:val="en-US"/>
        </w:rPr>
        <w:t>The financial support of ESF project 2009/0202/1DP/1.1.1.2.0/09/APIA/VIAA/141 is greatly acknowledged.</w:t>
      </w:r>
    </w:p>
    <w:p w:rsidR="00DA4289" w:rsidRPr="00AA7AD4" w:rsidRDefault="00DA4289">
      <w:pPr>
        <w:rPr>
          <w:lang w:val="en-US"/>
        </w:rPr>
      </w:pPr>
    </w:p>
    <w:sectPr w:rsidR="00DA4289" w:rsidRPr="00AA7A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D4"/>
    <w:rsid w:val="00166A32"/>
    <w:rsid w:val="001F1D2A"/>
    <w:rsid w:val="006309B8"/>
    <w:rsid w:val="00800AF5"/>
    <w:rsid w:val="00AA7AD4"/>
    <w:rsid w:val="00C4688B"/>
    <w:rsid w:val="00DA4289"/>
    <w:rsid w:val="00E67865"/>
    <w:rsid w:val="00E705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EBD4"/>
  <w15:docId w15:val="{B7DDEB5E-5046-47A3-B486-8FEB496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4"/>
    <w:rPr>
      <w:rFonts w:ascii="Calibri" w:eastAsia="Calibri" w:hAnsi="Calibri" w:cs="Times New Roman"/>
      <w:lang w:eastAsia="lv-LV"/>
    </w:rPr>
  </w:style>
  <w:style w:type="paragraph" w:styleId="Heading5">
    <w:name w:val="heading 5"/>
    <w:basedOn w:val="Normal"/>
    <w:next w:val="Normal"/>
    <w:link w:val="Heading5Char"/>
    <w:semiHidden/>
    <w:unhideWhenUsed/>
    <w:qFormat/>
    <w:rsid w:val="00AA7AD4"/>
    <w:pPr>
      <w:keepNext/>
      <w:autoSpaceDE w:val="0"/>
      <w:autoSpaceDN w:val="0"/>
      <w:adjustRightInd w:val="0"/>
      <w:spacing w:after="0" w:line="360" w:lineRule="auto"/>
      <w:outlineLvl w:val="4"/>
    </w:pPr>
    <w:rPr>
      <w:rFonts w:ascii="Times New Roman" w:eastAsia="Times New Roman" w:hAnsi="Times New Roman" w:cs="Arial"/>
      <w:color w:val="000000"/>
      <w:sz w:val="28"/>
      <w:szCs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A7AD4"/>
    <w:rPr>
      <w:rFonts w:ascii="Times New Roman" w:eastAsia="Times New Roman" w:hAnsi="Times New Roman" w:cs="Arial"/>
      <w:color w:val="000000"/>
      <w:sz w:val="28"/>
      <w:szCs w:val="24"/>
      <w:lang w:val="de-CH" w:eastAsia="de-CH"/>
    </w:rPr>
  </w:style>
  <w:style w:type="paragraph" w:styleId="NormalWeb">
    <w:name w:val="Normal (Web)"/>
    <w:basedOn w:val="Normal"/>
    <w:semiHidden/>
    <w:unhideWhenUsed/>
    <w:rsid w:val="00AA7AD4"/>
    <w:pPr>
      <w:spacing w:before="100" w:beforeAutospacing="1" w:after="100" w:afterAutospacing="1" w:line="240" w:lineRule="auto"/>
    </w:pPr>
    <w:rPr>
      <w:rFonts w:ascii="Times New Roman" w:hAnsi="Times New Roman"/>
      <w:color w:val="00000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Anatolijs Sarakovskis</cp:lastModifiedBy>
  <cp:revision>3</cp:revision>
  <dcterms:created xsi:type="dcterms:W3CDTF">2018-11-28T12:19:00Z</dcterms:created>
  <dcterms:modified xsi:type="dcterms:W3CDTF">2019-12-10T07:46:00Z</dcterms:modified>
</cp:coreProperties>
</file>