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D6E" w:rsidRPr="00250CC4" w:rsidRDefault="00935D6E" w:rsidP="00BB6EA3">
      <w:pPr>
        <w:rPr>
          <w:sz w:val="22"/>
          <w:szCs w:val="22"/>
        </w:rPr>
      </w:pPr>
      <w:r w:rsidRPr="00250CC4">
        <w:rPr>
          <w:b/>
          <w:bCs/>
          <w:u w:val="single"/>
        </w:rPr>
        <w:t>Uzaicinājums iepirkumam LU CFI 201</w:t>
      </w:r>
      <w:r w:rsidR="000A2087" w:rsidRPr="00250CC4">
        <w:rPr>
          <w:b/>
          <w:bCs/>
          <w:u w:val="single"/>
        </w:rPr>
        <w:t>5</w:t>
      </w:r>
      <w:r w:rsidRPr="00250CC4">
        <w:rPr>
          <w:b/>
          <w:bCs/>
          <w:u w:val="single"/>
        </w:rPr>
        <w:t>/</w:t>
      </w:r>
      <w:r w:rsidR="00A760BA" w:rsidRPr="00250CC4">
        <w:rPr>
          <w:b/>
          <w:bCs/>
          <w:u w:val="single"/>
        </w:rPr>
        <w:t>4</w:t>
      </w:r>
      <w:r w:rsidR="000921D3" w:rsidRPr="00250CC4">
        <w:rPr>
          <w:b/>
          <w:bCs/>
          <w:u w:val="single"/>
        </w:rPr>
        <w:t>4</w:t>
      </w:r>
      <w:r w:rsidR="00BB6EA3" w:rsidRPr="00250CC4">
        <w:rPr>
          <w:b/>
          <w:bCs/>
          <w:u w:val="single"/>
        </w:rPr>
        <w:t>/ERAF</w:t>
      </w:r>
      <w:r w:rsidR="00F22B24" w:rsidRPr="00250CC4">
        <w:rPr>
          <w:b/>
          <w:bCs/>
        </w:rPr>
        <w:br/>
      </w:r>
      <w:r w:rsidR="000872D4" w:rsidRPr="00250CC4">
        <w:rPr>
          <w:sz w:val="22"/>
          <w:szCs w:val="22"/>
        </w:rPr>
        <w:t xml:space="preserve">Pasūtītājs: Latvijas Universitātes Cietvielu fizikas institūts (LU CFI); PVN reģ.Nr.LV90002124925; adrese: Ķengaraga iela 8, Rīga, LV-1063; Tālr. 67187816, Fakss 67132778, e-pasts: </w:t>
      </w:r>
      <w:proofErr w:type="spellStart"/>
      <w:r w:rsidR="000872D4" w:rsidRPr="00250CC4">
        <w:rPr>
          <w:sz w:val="22"/>
          <w:szCs w:val="22"/>
        </w:rPr>
        <w:t>ISSP@cfi.lu.lv</w:t>
      </w:r>
      <w:proofErr w:type="spellEnd"/>
      <w:r w:rsidR="000872D4" w:rsidRPr="00250CC4">
        <w:rPr>
          <w:sz w:val="22"/>
          <w:szCs w:val="22"/>
        </w:rPr>
        <w:t xml:space="preserve">, mājas lapa: </w:t>
      </w:r>
      <w:proofErr w:type="spellStart"/>
      <w:r w:rsidR="000872D4" w:rsidRPr="00250CC4">
        <w:rPr>
          <w:sz w:val="22"/>
          <w:szCs w:val="22"/>
        </w:rPr>
        <w:t>www.cfi.lu.lv</w:t>
      </w:r>
      <w:proofErr w:type="spellEnd"/>
      <w:r w:rsidR="000872D4" w:rsidRPr="00250CC4">
        <w:rPr>
          <w:sz w:val="22"/>
          <w:szCs w:val="22"/>
        </w:rPr>
        <w:t xml:space="preserve">. </w:t>
      </w:r>
      <w:r w:rsidR="00BB6EA3" w:rsidRPr="00250CC4">
        <w:rPr>
          <w:sz w:val="22"/>
          <w:szCs w:val="22"/>
        </w:rPr>
        <w:t>Iepirkums tiek veikts ERAF līdzfinansēta projekta Nr. 2015/0028/2DP/2.1.1.3.3/15/IPIA/VIAA/011 "LU Cietvielu fizikas institūta institucionālās kapacitātes attīstība" vajadzībām. Iepirkumu organizē un realizē LU CFI iepirkumu komisija, kas izveidota ar LU CFI direktora 01.09.2014. rīkojumu Nr. 5-v. Iepirkums tiek veikts atbilstoši Publisko iepirkumu likuma (PIL) 8</w:t>
      </w:r>
      <w:r w:rsidR="00BB6EA3" w:rsidRPr="00250CC4">
        <w:rPr>
          <w:sz w:val="22"/>
          <w:szCs w:val="22"/>
          <w:vertAlign w:val="superscript"/>
        </w:rPr>
        <w:t>2</w:t>
      </w:r>
      <w:r w:rsidR="00BB6EA3" w:rsidRPr="00250CC4">
        <w:rPr>
          <w:sz w:val="22"/>
          <w:szCs w:val="22"/>
        </w:rPr>
        <w:t xml:space="preserve"> pantam.</w:t>
      </w:r>
    </w:p>
    <w:tbl>
      <w:tblPr>
        <w:tblW w:w="1535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1276"/>
        <w:gridCol w:w="1275"/>
        <w:gridCol w:w="1418"/>
        <w:gridCol w:w="1276"/>
        <w:gridCol w:w="1275"/>
        <w:gridCol w:w="1418"/>
        <w:gridCol w:w="850"/>
        <w:gridCol w:w="1073"/>
      </w:tblGrid>
      <w:tr w:rsidR="00935D6E" w:rsidRPr="00250CC4" w:rsidTr="00F22B24">
        <w:tc>
          <w:tcPr>
            <w:tcW w:w="5495"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250CC4" w:rsidRDefault="00935D6E" w:rsidP="004C5492">
            <w:pPr>
              <w:jc w:val="center"/>
              <w:rPr>
                <w:sz w:val="22"/>
                <w:szCs w:val="22"/>
              </w:rPr>
            </w:pPr>
            <w:r w:rsidRPr="00250CC4">
              <w:rPr>
                <w:sz w:val="22"/>
                <w:szCs w:val="22"/>
              </w:rPr>
              <w:t>Iepirkuma priekšmets</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250CC4" w:rsidRDefault="00935D6E" w:rsidP="004C5492">
            <w:pPr>
              <w:jc w:val="center"/>
              <w:rPr>
                <w:sz w:val="22"/>
                <w:szCs w:val="22"/>
              </w:rPr>
            </w:pPr>
            <w:r w:rsidRPr="00250CC4">
              <w:rPr>
                <w:sz w:val="22"/>
                <w:szCs w:val="22"/>
              </w:rPr>
              <w:t xml:space="preserve">Paredzamā līgumcena bez PVN, </w:t>
            </w:r>
            <w:r w:rsidR="008774AC" w:rsidRPr="00250CC4">
              <w:rPr>
                <w:sz w:val="22"/>
                <w:szCs w:val="22"/>
              </w:rPr>
              <w:t>EUR</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250CC4" w:rsidRDefault="00935D6E" w:rsidP="00F22B24">
            <w:pPr>
              <w:jc w:val="center"/>
              <w:rPr>
                <w:sz w:val="22"/>
                <w:szCs w:val="22"/>
              </w:rPr>
            </w:pPr>
            <w:r w:rsidRPr="00250CC4">
              <w:rPr>
                <w:sz w:val="22"/>
                <w:szCs w:val="22"/>
              </w:rPr>
              <w:t>Informācijas ievietošanas datums</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250CC4" w:rsidRDefault="00935D6E" w:rsidP="00F22B24">
            <w:pPr>
              <w:jc w:val="center"/>
              <w:rPr>
                <w:sz w:val="22"/>
                <w:szCs w:val="22"/>
              </w:rPr>
            </w:pPr>
            <w:r w:rsidRPr="00250CC4">
              <w:rPr>
                <w:sz w:val="22"/>
                <w:szCs w:val="22"/>
              </w:rPr>
              <w:t>Piedāvājumu iesniegšanas termiņš</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250CC4" w:rsidRDefault="00935D6E" w:rsidP="00F22B24">
            <w:pPr>
              <w:jc w:val="center"/>
              <w:rPr>
                <w:sz w:val="22"/>
                <w:szCs w:val="22"/>
              </w:rPr>
            </w:pPr>
            <w:r w:rsidRPr="00250CC4">
              <w:rPr>
                <w:sz w:val="22"/>
                <w:szCs w:val="22"/>
              </w:rPr>
              <w:t>Iesniegto</w:t>
            </w:r>
            <w:r w:rsidR="00F22B24" w:rsidRPr="00250CC4">
              <w:rPr>
                <w:sz w:val="22"/>
                <w:szCs w:val="22"/>
              </w:rPr>
              <w:br/>
            </w:r>
            <w:r w:rsidRPr="00250CC4">
              <w:rPr>
                <w:sz w:val="22"/>
                <w:szCs w:val="22"/>
              </w:rPr>
              <w:t>piedāvājumu</w:t>
            </w:r>
            <w:r w:rsidR="00F22B24" w:rsidRPr="00250CC4">
              <w:rPr>
                <w:sz w:val="22"/>
                <w:szCs w:val="22"/>
              </w:rPr>
              <w:br/>
            </w:r>
            <w:r w:rsidRPr="00250CC4">
              <w:rPr>
                <w:sz w:val="22"/>
                <w:szCs w:val="22"/>
              </w:rPr>
              <w:t xml:space="preserve"> skaits</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250CC4" w:rsidRDefault="00935D6E" w:rsidP="004C5492">
            <w:pPr>
              <w:jc w:val="center"/>
              <w:rPr>
                <w:sz w:val="22"/>
                <w:szCs w:val="22"/>
              </w:rPr>
            </w:pPr>
            <w:r w:rsidRPr="00250CC4">
              <w:rPr>
                <w:sz w:val="22"/>
                <w:szCs w:val="22"/>
              </w:rPr>
              <w:t>Līguma izpildītājs</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250CC4" w:rsidRDefault="00935D6E" w:rsidP="004C5492">
            <w:pPr>
              <w:jc w:val="center"/>
              <w:rPr>
                <w:sz w:val="22"/>
                <w:szCs w:val="22"/>
              </w:rPr>
            </w:pPr>
            <w:r w:rsidRPr="00250CC4">
              <w:rPr>
                <w:sz w:val="22"/>
                <w:szCs w:val="22"/>
              </w:rPr>
              <w:t>Lēmuma pieņemšanas datums</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250CC4" w:rsidRDefault="00935D6E" w:rsidP="00F22B24">
            <w:pPr>
              <w:jc w:val="center"/>
              <w:rPr>
                <w:sz w:val="22"/>
                <w:szCs w:val="22"/>
              </w:rPr>
            </w:pPr>
            <w:r w:rsidRPr="00250CC4">
              <w:rPr>
                <w:sz w:val="22"/>
                <w:szCs w:val="22"/>
              </w:rPr>
              <w:t>Līguma</w:t>
            </w:r>
            <w:r w:rsidR="00F22B24" w:rsidRPr="00250CC4">
              <w:rPr>
                <w:sz w:val="22"/>
                <w:szCs w:val="22"/>
              </w:rPr>
              <w:br/>
            </w:r>
            <w:r w:rsidRPr="00250CC4">
              <w:rPr>
                <w:sz w:val="22"/>
                <w:szCs w:val="22"/>
              </w:rPr>
              <w:t>termiņš</w:t>
            </w:r>
          </w:p>
        </w:tc>
        <w:tc>
          <w:tcPr>
            <w:tcW w:w="1073"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250CC4" w:rsidRDefault="00935D6E" w:rsidP="004C5492">
            <w:pPr>
              <w:jc w:val="center"/>
              <w:rPr>
                <w:sz w:val="22"/>
                <w:szCs w:val="22"/>
              </w:rPr>
            </w:pPr>
            <w:proofErr w:type="spellStart"/>
            <w:r w:rsidRPr="00250CC4">
              <w:rPr>
                <w:sz w:val="22"/>
                <w:szCs w:val="22"/>
              </w:rPr>
              <w:t>Līgum-</w:t>
            </w:r>
            <w:proofErr w:type="spellEnd"/>
            <w:r w:rsidRPr="00250CC4">
              <w:rPr>
                <w:sz w:val="22"/>
                <w:szCs w:val="22"/>
              </w:rPr>
              <w:t xml:space="preserve"> cena, bez PVN, </w:t>
            </w:r>
            <w:r w:rsidR="002F7EB2" w:rsidRPr="00250CC4">
              <w:rPr>
                <w:sz w:val="22"/>
                <w:szCs w:val="22"/>
              </w:rPr>
              <w:t>EUR</w:t>
            </w:r>
          </w:p>
        </w:tc>
      </w:tr>
      <w:tr w:rsidR="00935D6E" w:rsidRPr="00250CC4" w:rsidTr="00F22B24">
        <w:trPr>
          <w:trHeight w:val="1073"/>
        </w:trPr>
        <w:tc>
          <w:tcPr>
            <w:tcW w:w="5495"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250CC4" w:rsidRDefault="00DC6C50" w:rsidP="00C71755">
            <w:r w:rsidRPr="00250CC4">
              <w:rPr>
                <w:color w:val="000000"/>
              </w:rPr>
              <w:t>Tiešsaistes pieejas licences (</w:t>
            </w:r>
            <w:proofErr w:type="spellStart"/>
            <w:r w:rsidRPr="00250CC4">
              <w:rPr>
                <w:color w:val="000000"/>
              </w:rPr>
              <w:t>the</w:t>
            </w:r>
            <w:proofErr w:type="spellEnd"/>
            <w:r w:rsidRPr="00250CC4">
              <w:rPr>
                <w:color w:val="000000"/>
              </w:rPr>
              <w:t xml:space="preserve"> </w:t>
            </w:r>
            <w:proofErr w:type="spellStart"/>
            <w:r w:rsidRPr="00250CC4">
              <w:rPr>
                <w:color w:val="000000"/>
              </w:rPr>
              <w:t>site</w:t>
            </w:r>
            <w:proofErr w:type="spellEnd"/>
            <w:r w:rsidRPr="00250CC4">
              <w:rPr>
                <w:color w:val="000000"/>
              </w:rPr>
              <w:t xml:space="preserve"> </w:t>
            </w:r>
            <w:proofErr w:type="spellStart"/>
            <w:r w:rsidRPr="00250CC4">
              <w:rPr>
                <w:color w:val="000000"/>
              </w:rPr>
              <w:t>licenses</w:t>
            </w:r>
            <w:proofErr w:type="spellEnd"/>
            <w:r w:rsidRPr="00250CC4">
              <w:rPr>
                <w:color w:val="000000"/>
              </w:rPr>
              <w:t>) izdevniecības "</w:t>
            </w:r>
            <w:proofErr w:type="spellStart"/>
            <w:r w:rsidRPr="00250CC4">
              <w:rPr>
                <w:color w:val="000000"/>
              </w:rPr>
              <w:t>Nature</w:t>
            </w:r>
            <w:proofErr w:type="spellEnd"/>
            <w:r w:rsidRPr="00250CC4">
              <w:rPr>
                <w:color w:val="000000"/>
              </w:rPr>
              <w:t xml:space="preserve"> </w:t>
            </w:r>
            <w:proofErr w:type="spellStart"/>
            <w:r w:rsidRPr="00250CC4">
              <w:rPr>
                <w:color w:val="000000"/>
              </w:rPr>
              <w:t>Publishing</w:t>
            </w:r>
            <w:proofErr w:type="spellEnd"/>
            <w:r w:rsidRPr="00250CC4">
              <w:rPr>
                <w:color w:val="000000"/>
              </w:rPr>
              <w:t xml:space="preserve"> </w:t>
            </w:r>
            <w:proofErr w:type="spellStart"/>
            <w:r w:rsidRPr="00250CC4">
              <w:rPr>
                <w:color w:val="000000"/>
              </w:rPr>
              <w:t>Group</w:t>
            </w:r>
            <w:proofErr w:type="spellEnd"/>
            <w:r w:rsidRPr="00250CC4">
              <w:rPr>
                <w:color w:val="000000"/>
              </w:rPr>
              <w:t>" žurnāliem atbilstoši tehniskajai specifikācijai.</w:t>
            </w:r>
            <w:r w:rsidR="00F83194" w:rsidRPr="00250CC4">
              <w:rPr>
                <w:sz w:val="22"/>
                <w:szCs w:val="22"/>
              </w:rPr>
              <w:br/>
              <w:t>Paredzamais līguma</w:t>
            </w:r>
            <w:r w:rsidR="00BB6EA3" w:rsidRPr="00250CC4">
              <w:rPr>
                <w:sz w:val="22"/>
                <w:szCs w:val="22"/>
              </w:rPr>
              <w:t xml:space="preserve"> izpildes</w:t>
            </w:r>
            <w:r w:rsidR="00F83194" w:rsidRPr="00250CC4">
              <w:rPr>
                <w:sz w:val="22"/>
                <w:szCs w:val="22"/>
              </w:rPr>
              <w:t xml:space="preserve"> termiņš: </w:t>
            </w:r>
            <w:r w:rsidR="000921D3" w:rsidRPr="00250CC4">
              <w:rPr>
                <w:sz w:val="22"/>
                <w:szCs w:val="22"/>
              </w:rPr>
              <w:t>7</w:t>
            </w:r>
            <w:r w:rsidR="00BB6EA3" w:rsidRPr="00250CC4">
              <w:rPr>
                <w:sz w:val="22"/>
                <w:szCs w:val="22"/>
              </w:rPr>
              <w:t xml:space="preserve"> kalendārā</w:t>
            </w:r>
            <w:r w:rsidR="000921D3" w:rsidRPr="00250CC4">
              <w:rPr>
                <w:sz w:val="22"/>
                <w:szCs w:val="22"/>
              </w:rPr>
              <w:t>s</w:t>
            </w:r>
            <w:r w:rsidR="00BB6EA3" w:rsidRPr="00250CC4">
              <w:rPr>
                <w:sz w:val="22"/>
                <w:szCs w:val="22"/>
              </w:rPr>
              <w:t xml:space="preserve"> diena</w:t>
            </w:r>
            <w:r w:rsidR="000921D3" w:rsidRPr="00250CC4">
              <w:rPr>
                <w:sz w:val="22"/>
                <w:szCs w:val="22"/>
              </w:rPr>
              <w:t>s</w:t>
            </w:r>
            <w:r w:rsidR="00F83194" w:rsidRPr="00250CC4">
              <w:rPr>
                <w:sz w:val="22"/>
                <w:szCs w:val="22"/>
              </w:rPr>
              <w:t>.</w:t>
            </w:r>
            <w:r w:rsidR="00F83194" w:rsidRPr="00250CC4">
              <w:rPr>
                <w:sz w:val="22"/>
                <w:szCs w:val="22"/>
              </w:rPr>
              <w:br/>
            </w:r>
            <w:r w:rsidR="0040559E" w:rsidRPr="00250CC4">
              <w:rPr>
                <w:color w:val="000000"/>
                <w:sz w:val="22"/>
                <w:szCs w:val="22"/>
              </w:rPr>
              <w:t xml:space="preserve">CPV kods: </w:t>
            </w:r>
            <w:r w:rsidR="00BB6EA3" w:rsidRPr="00250CC4">
              <w:rPr>
                <w:sz w:val="22"/>
                <w:szCs w:val="22"/>
              </w:rPr>
              <w:t>48218000-9</w:t>
            </w:r>
            <w:r w:rsidR="00137C14" w:rsidRPr="00250CC4">
              <w:rPr>
                <w:sz w:val="22"/>
                <w:szCs w:val="22"/>
              </w:rPr>
              <w:t>.</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250CC4" w:rsidRDefault="000A2087" w:rsidP="000A2087">
            <w:pPr>
              <w:jc w:val="center"/>
              <w:rPr>
                <w:sz w:val="22"/>
                <w:szCs w:val="22"/>
              </w:rPr>
            </w:pPr>
            <w:r w:rsidRPr="00250CC4">
              <w:rPr>
                <w:sz w:val="22"/>
                <w:szCs w:val="22"/>
              </w:rPr>
              <w:t>Starp</w:t>
            </w:r>
            <w:r w:rsidR="00026C19" w:rsidRPr="00250CC4">
              <w:rPr>
                <w:sz w:val="22"/>
                <w:szCs w:val="22"/>
              </w:rPr>
              <w:t xml:space="preserve"> </w:t>
            </w:r>
            <w:r w:rsidRPr="00250CC4">
              <w:rPr>
                <w:sz w:val="22"/>
                <w:szCs w:val="22"/>
              </w:rPr>
              <w:t xml:space="preserve">4 </w:t>
            </w:r>
            <w:r w:rsidR="00026C19" w:rsidRPr="00250CC4">
              <w:rPr>
                <w:sz w:val="22"/>
                <w:szCs w:val="22"/>
              </w:rPr>
              <w:t>000</w:t>
            </w:r>
            <w:r w:rsidR="0040559E" w:rsidRPr="00250CC4">
              <w:rPr>
                <w:sz w:val="22"/>
                <w:szCs w:val="22"/>
              </w:rPr>
              <w:t xml:space="preserve"> </w:t>
            </w:r>
            <w:r w:rsidR="00026C19" w:rsidRPr="00250CC4">
              <w:rPr>
                <w:sz w:val="22"/>
                <w:szCs w:val="22"/>
              </w:rPr>
              <w:t>EUR</w:t>
            </w:r>
            <w:r w:rsidR="00DE5B8E" w:rsidRPr="00250CC4">
              <w:rPr>
                <w:sz w:val="22"/>
                <w:szCs w:val="22"/>
              </w:rPr>
              <w:t xml:space="preserve"> </w:t>
            </w:r>
            <w:r w:rsidRPr="00250CC4">
              <w:rPr>
                <w:sz w:val="22"/>
                <w:szCs w:val="22"/>
              </w:rPr>
              <w:t xml:space="preserve"> un 41 999.99 EUR</w:t>
            </w: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250CC4" w:rsidRDefault="000921D3" w:rsidP="00DC6C50">
            <w:pPr>
              <w:jc w:val="center"/>
              <w:rPr>
                <w:sz w:val="22"/>
                <w:szCs w:val="22"/>
              </w:rPr>
            </w:pPr>
            <w:r w:rsidRPr="00250CC4">
              <w:rPr>
                <w:sz w:val="22"/>
                <w:szCs w:val="22"/>
              </w:rPr>
              <w:t>2</w:t>
            </w:r>
            <w:r w:rsidR="00DC6C50" w:rsidRPr="00250CC4">
              <w:rPr>
                <w:sz w:val="22"/>
                <w:szCs w:val="22"/>
              </w:rPr>
              <w:t>7</w:t>
            </w:r>
            <w:r w:rsidR="00BB6EA3" w:rsidRPr="00250CC4">
              <w:rPr>
                <w:sz w:val="22"/>
                <w:szCs w:val="22"/>
              </w:rPr>
              <w:t>.11</w:t>
            </w:r>
            <w:r w:rsidR="00935D6E" w:rsidRPr="00250CC4">
              <w:rPr>
                <w:sz w:val="22"/>
                <w:szCs w:val="22"/>
              </w:rPr>
              <w:t>.</w:t>
            </w:r>
            <w:r w:rsidR="00F22B24" w:rsidRPr="00250CC4">
              <w:rPr>
                <w:sz w:val="22"/>
                <w:szCs w:val="22"/>
              </w:rPr>
              <w:br/>
            </w:r>
            <w:r w:rsidR="00935D6E" w:rsidRPr="00250CC4">
              <w:rPr>
                <w:sz w:val="22"/>
                <w:szCs w:val="22"/>
              </w:rPr>
              <w:t>201</w:t>
            </w:r>
            <w:r w:rsidR="000A2087" w:rsidRPr="00250CC4">
              <w:rPr>
                <w:sz w:val="22"/>
                <w:szCs w:val="22"/>
              </w:rPr>
              <w:t>5</w:t>
            </w:r>
            <w:r w:rsidR="00935D6E" w:rsidRPr="00250CC4">
              <w:rPr>
                <w:sz w:val="22"/>
                <w:szCs w:val="22"/>
              </w:rPr>
              <w:t>.</w:t>
            </w: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250CC4" w:rsidRDefault="000921D3" w:rsidP="00C677F7">
            <w:pPr>
              <w:jc w:val="center"/>
              <w:rPr>
                <w:sz w:val="22"/>
                <w:szCs w:val="22"/>
              </w:rPr>
            </w:pPr>
            <w:r w:rsidRPr="00250CC4">
              <w:rPr>
                <w:sz w:val="22"/>
                <w:szCs w:val="22"/>
              </w:rPr>
              <w:t>0</w:t>
            </w:r>
            <w:r w:rsidR="00C677F7" w:rsidRPr="00250CC4">
              <w:rPr>
                <w:sz w:val="22"/>
                <w:szCs w:val="22"/>
              </w:rPr>
              <w:t>8</w:t>
            </w:r>
            <w:r w:rsidRPr="00250CC4">
              <w:rPr>
                <w:sz w:val="22"/>
                <w:szCs w:val="22"/>
              </w:rPr>
              <w:t>.12</w:t>
            </w:r>
            <w:r w:rsidR="004C5492" w:rsidRPr="00250CC4">
              <w:rPr>
                <w:sz w:val="22"/>
                <w:szCs w:val="22"/>
              </w:rPr>
              <w:t>.</w:t>
            </w:r>
            <w:r w:rsidR="002F0EA2" w:rsidRPr="00250CC4">
              <w:rPr>
                <w:sz w:val="22"/>
                <w:szCs w:val="22"/>
              </w:rPr>
              <w:br/>
              <w:t>201</w:t>
            </w:r>
            <w:r w:rsidR="000A2087" w:rsidRPr="00250CC4">
              <w:rPr>
                <w:sz w:val="22"/>
                <w:szCs w:val="22"/>
              </w:rPr>
              <w:t>5</w:t>
            </w:r>
            <w:r w:rsidR="00935D6E" w:rsidRPr="00250CC4">
              <w:rPr>
                <w:sz w:val="22"/>
                <w:szCs w:val="22"/>
              </w:rPr>
              <w:t>.</w:t>
            </w:r>
            <w:r w:rsidR="00F22B24" w:rsidRPr="00250CC4">
              <w:rPr>
                <w:sz w:val="22"/>
                <w:szCs w:val="22"/>
              </w:rPr>
              <w:br/>
            </w:r>
            <w:r w:rsidR="00935D6E" w:rsidRPr="00250CC4">
              <w:rPr>
                <w:sz w:val="22"/>
                <w:szCs w:val="22"/>
              </w:rPr>
              <w:t>1</w:t>
            </w:r>
            <w:r w:rsidR="00FE4D7F" w:rsidRPr="00250CC4">
              <w:rPr>
                <w:sz w:val="22"/>
                <w:szCs w:val="22"/>
              </w:rPr>
              <w:t>0</w:t>
            </w:r>
            <w:r w:rsidR="00935D6E" w:rsidRPr="00250CC4">
              <w:rPr>
                <w:sz w:val="22"/>
                <w:szCs w:val="22"/>
              </w:rPr>
              <w:t>:00</w:t>
            </w:r>
          </w:p>
        </w:tc>
        <w:tc>
          <w:tcPr>
            <w:tcW w:w="1276"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250CC4" w:rsidRDefault="00935D6E" w:rsidP="004C5492">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250CC4" w:rsidRDefault="00935D6E" w:rsidP="004C5492">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250CC4" w:rsidRDefault="00935D6E" w:rsidP="004C5492">
            <w:pPr>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250CC4" w:rsidRDefault="00935D6E" w:rsidP="004C5492">
            <w:pPr>
              <w:jc w:val="center"/>
              <w:rPr>
                <w:sz w:val="22"/>
                <w:szCs w:val="22"/>
              </w:rPr>
            </w:pPr>
          </w:p>
        </w:tc>
        <w:tc>
          <w:tcPr>
            <w:tcW w:w="1073" w:type="dxa"/>
            <w:tcBorders>
              <w:top w:val="single" w:sz="4" w:space="0" w:color="auto"/>
              <w:left w:val="single" w:sz="4" w:space="0" w:color="auto"/>
              <w:bottom w:val="single" w:sz="4" w:space="0" w:color="auto"/>
              <w:right w:val="single" w:sz="4" w:space="0" w:color="auto"/>
            </w:tcBorders>
            <w:tcMar>
              <w:left w:w="28" w:type="dxa"/>
              <w:right w:w="28" w:type="dxa"/>
            </w:tcMar>
          </w:tcPr>
          <w:p w:rsidR="00935D6E" w:rsidRPr="00250CC4" w:rsidRDefault="00935D6E" w:rsidP="004C5492">
            <w:pPr>
              <w:jc w:val="center"/>
              <w:rPr>
                <w:sz w:val="22"/>
                <w:szCs w:val="22"/>
              </w:rPr>
            </w:pPr>
          </w:p>
        </w:tc>
      </w:tr>
    </w:tbl>
    <w:p w:rsidR="00935D6E" w:rsidRPr="00250CC4" w:rsidRDefault="00935D6E" w:rsidP="000F799F">
      <w:pPr>
        <w:spacing w:before="120"/>
        <w:rPr>
          <w:rStyle w:val="Hyperlink"/>
        </w:rPr>
      </w:pPr>
      <w:r w:rsidRPr="00250CC4">
        <w:rPr>
          <w:u w:val="single"/>
        </w:rPr>
        <w:t>Kontaktpersona</w:t>
      </w:r>
      <w:r w:rsidRPr="00250CC4">
        <w:t xml:space="preserve">: </w:t>
      </w:r>
      <w:r w:rsidR="00EE378E" w:rsidRPr="00250CC4">
        <w:t xml:space="preserve">Jānis Pinnis, tālr.67260545, 29680881, fakss: 67132778, e-pasts: </w:t>
      </w:r>
      <w:hyperlink r:id="rId9" w:history="1">
        <w:r w:rsidR="00EE378E" w:rsidRPr="00250CC4">
          <w:rPr>
            <w:rStyle w:val="Hyperlink"/>
          </w:rPr>
          <w:t>Janis.Pinnis@cfi.lu.lv</w:t>
        </w:r>
      </w:hyperlink>
    </w:p>
    <w:p w:rsidR="002A6C3B" w:rsidRPr="00250CC4" w:rsidRDefault="002A6C3B" w:rsidP="002A6C3B">
      <w:pPr>
        <w:rPr>
          <w:b/>
          <w:bCs/>
          <w:u w:val="single"/>
          <w:lang w:val="en-GB"/>
        </w:rPr>
      </w:pPr>
    </w:p>
    <w:p w:rsidR="002A6C3B" w:rsidRPr="00250CC4" w:rsidRDefault="002A6C3B" w:rsidP="002A6C3B">
      <w:pPr>
        <w:rPr>
          <w:b/>
          <w:bCs/>
          <w:u w:val="single"/>
          <w:lang w:val="en-GB"/>
        </w:rPr>
      </w:pPr>
      <w:r w:rsidRPr="00250CC4">
        <w:rPr>
          <w:b/>
          <w:bCs/>
          <w:u w:val="single"/>
          <w:lang w:val="en-GB"/>
        </w:rPr>
        <w:t>Invitation LUCFI 2015/44/ERAF</w:t>
      </w:r>
    </w:p>
    <w:p w:rsidR="002A6C3B" w:rsidRPr="00250CC4" w:rsidRDefault="002A6C3B" w:rsidP="002A6C3B">
      <w:pPr>
        <w:spacing w:before="120" w:after="120"/>
        <w:rPr>
          <w:lang w:val="en-GB"/>
        </w:rPr>
      </w:pPr>
      <w:r w:rsidRPr="00250CC4">
        <w:rPr>
          <w:lang w:val="en-GB"/>
        </w:rPr>
        <w:t xml:space="preserve">Contracting Authority: </w:t>
      </w:r>
      <w:r w:rsidRPr="00250CC4">
        <w:rPr>
          <w:color w:val="000000"/>
          <w:lang w:val="en-GB"/>
        </w:rPr>
        <w:t>Institute of Solid State Physics University of Latvia (hereinafter - the ISSP)</w:t>
      </w:r>
      <w:r w:rsidRPr="00250CC4">
        <w:rPr>
          <w:lang w:val="en-GB"/>
        </w:rPr>
        <w:t xml:space="preserve">; </w:t>
      </w:r>
      <w:r w:rsidRPr="00250CC4">
        <w:rPr>
          <w:bCs/>
          <w:lang w:val="en-GB"/>
        </w:rPr>
        <w:t>VAT Reg. No. LV90002124925</w:t>
      </w:r>
      <w:r w:rsidRPr="00250CC4">
        <w:rPr>
          <w:lang w:val="en-GB"/>
        </w:rPr>
        <w:t xml:space="preserve">; </w:t>
      </w:r>
      <w:r w:rsidRPr="00250CC4">
        <w:rPr>
          <w:bCs/>
          <w:lang w:val="en-GB"/>
        </w:rPr>
        <w:t>Address</w:t>
      </w:r>
      <w:r w:rsidRPr="00250CC4">
        <w:rPr>
          <w:lang w:val="en-GB"/>
        </w:rPr>
        <w:t xml:space="preserve">: </w:t>
      </w:r>
      <w:proofErr w:type="spellStart"/>
      <w:r w:rsidRPr="00250CC4">
        <w:rPr>
          <w:color w:val="000000"/>
          <w:lang w:val="en-GB"/>
        </w:rPr>
        <w:t>Kengaraga</w:t>
      </w:r>
      <w:proofErr w:type="spellEnd"/>
      <w:r w:rsidRPr="00250CC4">
        <w:rPr>
          <w:color w:val="000000"/>
          <w:lang w:val="en-GB"/>
        </w:rPr>
        <w:t xml:space="preserve"> street 8, Riga, LV-1063, Latvia</w:t>
      </w:r>
      <w:r w:rsidRPr="00250CC4">
        <w:rPr>
          <w:lang w:val="en-GB"/>
        </w:rPr>
        <w:t xml:space="preserve">; Telephone: +371 67187816, Fax: +371 67132778, </w:t>
      </w:r>
      <w:r w:rsidRPr="00250CC4">
        <w:rPr>
          <w:bCs/>
          <w:lang w:val="en-GB"/>
        </w:rPr>
        <w:t>e-mail</w:t>
      </w:r>
      <w:r w:rsidRPr="00250CC4">
        <w:rPr>
          <w:lang w:val="en-GB"/>
        </w:rPr>
        <w:t xml:space="preserve">: </w:t>
      </w:r>
      <w:hyperlink r:id="rId10" w:history="1">
        <w:r w:rsidRPr="00250CC4">
          <w:rPr>
            <w:rStyle w:val="Hyperlink"/>
            <w:lang w:val="en-GB"/>
          </w:rPr>
          <w:t>ISSP@cfi.lu.lv</w:t>
        </w:r>
      </w:hyperlink>
      <w:r w:rsidRPr="00250CC4">
        <w:rPr>
          <w:lang w:val="en-GB"/>
        </w:rPr>
        <w:t xml:space="preserve">, </w:t>
      </w:r>
      <w:r w:rsidRPr="00250CC4">
        <w:rPr>
          <w:bCs/>
          <w:lang w:val="en-GB"/>
        </w:rPr>
        <w:t>Internet address</w:t>
      </w:r>
      <w:r w:rsidRPr="00250CC4">
        <w:rPr>
          <w:lang w:val="en-GB"/>
        </w:rPr>
        <w:t xml:space="preserve">: </w:t>
      </w:r>
      <w:hyperlink r:id="rId11" w:history="1">
        <w:r w:rsidRPr="00250CC4">
          <w:rPr>
            <w:rStyle w:val="Hyperlink"/>
            <w:lang w:val="en-GB"/>
          </w:rPr>
          <w:t>www.cfi.lu.lv</w:t>
        </w:r>
      </w:hyperlink>
      <w:r w:rsidRPr="00250CC4">
        <w:rPr>
          <w:lang w:val="en-GB"/>
        </w:rPr>
        <w:t xml:space="preserve">. Purchase will be performed within the ERDF Project No. 2015/0028/2DP/2.1.1.3.3/15/IPIA/VIAA/011 „Development of the institutional capacity of the Institute of Solid State Physics University of Latvia”. Procurement </w:t>
      </w:r>
      <w:r w:rsidRPr="00250CC4">
        <w:rPr>
          <w:color w:val="000000"/>
          <w:lang w:val="en-GB"/>
        </w:rPr>
        <w:t xml:space="preserve">is organised by the Procurement Commission (hereinafter - the Commission) of the ISSP, established by the Director of ISSP Order No. 5-v dd. 01.09.2014. </w:t>
      </w:r>
      <w:r w:rsidRPr="00250CC4">
        <w:rPr>
          <w:lang w:val="en-GB"/>
        </w:rPr>
        <w:t>Procurement will be performed in accordance with the Section 8</w:t>
      </w:r>
      <w:r w:rsidRPr="00250CC4">
        <w:rPr>
          <w:vertAlign w:val="superscript"/>
          <w:lang w:val="en-GB"/>
        </w:rPr>
        <w:t>2</w:t>
      </w:r>
      <w:r w:rsidRPr="00250CC4">
        <w:rPr>
          <w:lang w:val="en-GB"/>
        </w:rPr>
        <w:t xml:space="preserve"> of Law “On Public Procurement” of Republic of Latvia.</w:t>
      </w:r>
    </w:p>
    <w:tbl>
      <w:tblPr>
        <w:tblW w:w="1558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8"/>
        <w:gridCol w:w="1122"/>
        <w:gridCol w:w="1122"/>
        <w:gridCol w:w="1144"/>
        <w:gridCol w:w="952"/>
        <w:gridCol w:w="1270"/>
        <w:gridCol w:w="1378"/>
        <w:gridCol w:w="900"/>
        <w:gridCol w:w="1132"/>
      </w:tblGrid>
      <w:tr w:rsidR="002A6C3B" w:rsidRPr="00250CC4" w:rsidTr="00D90CCB">
        <w:tc>
          <w:tcPr>
            <w:tcW w:w="6568" w:type="dxa"/>
            <w:tcBorders>
              <w:top w:val="single" w:sz="4" w:space="0" w:color="auto"/>
              <w:left w:val="single" w:sz="4" w:space="0" w:color="auto"/>
              <w:bottom w:val="single" w:sz="4" w:space="0" w:color="auto"/>
              <w:right w:val="single" w:sz="4" w:space="0" w:color="auto"/>
            </w:tcBorders>
            <w:tcMar>
              <w:left w:w="28" w:type="dxa"/>
              <w:right w:w="28" w:type="dxa"/>
            </w:tcMar>
          </w:tcPr>
          <w:p w:rsidR="002A6C3B" w:rsidRPr="00250CC4" w:rsidRDefault="002A6C3B" w:rsidP="00D90CCB">
            <w:pPr>
              <w:jc w:val="center"/>
              <w:rPr>
                <w:sz w:val="22"/>
                <w:szCs w:val="22"/>
                <w:lang w:val="en-GB"/>
              </w:rPr>
            </w:pPr>
            <w:r w:rsidRPr="00250CC4">
              <w:rPr>
                <w:sz w:val="22"/>
                <w:szCs w:val="22"/>
                <w:lang w:val="en-GB"/>
              </w:rPr>
              <w:t>Subject of the procurement</w:t>
            </w:r>
          </w:p>
        </w:tc>
        <w:tc>
          <w:tcPr>
            <w:tcW w:w="1122" w:type="dxa"/>
            <w:tcBorders>
              <w:top w:val="single" w:sz="4" w:space="0" w:color="auto"/>
              <w:left w:val="single" w:sz="4" w:space="0" w:color="auto"/>
              <w:bottom w:val="single" w:sz="4" w:space="0" w:color="auto"/>
              <w:right w:val="single" w:sz="4" w:space="0" w:color="auto"/>
            </w:tcBorders>
            <w:tcMar>
              <w:left w:w="28" w:type="dxa"/>
              <w:right w:w="28" w:type="dxa"/>
            </w:tcMar>
          </w:tcPr>
          <w:p w:rsidR="002A6C3B" w:rsidRPr="00250CC4" w:rsidRDefault="002A6C3B" w:rsidP="00D90CCB">
            <w:pPr>
              <w:jc w:val="center"/>
              <w:rPr>
                <w:sz w:val="22"/>
                <w:szCs w:val="22"/>
                <w:lang w:val="en-GB"/>
              </w:rPr>
            </w:pPr>
            <w:r w:rsidRPr="00250CC4">
              <w:rPr>
                <w:sz w:val="22"/>
                <w:szCs w:val="22"/>
                <w:lang w:val="en-GB"/>
              </w:rPr>
              <w:t>Estimated contract price (VAT excluded), EUR</w:t>
            </w:r>
          </w:p>
        </w:tc>
        <w:tc>
          <w:tcPr>
            <w:tcW w:w="1122" w:type="dxa"/>
            <w:tcBorders>
              <w:top w:val="single" w:sz="4" w:space="0" w:color="auto"/>
              <w:left w:val="single" w:sz="4" w:space="0" w:color="auto"/>
              <w:bottom w:val="single" w:sz="4" w:space="0" w:color="auto"/>
              <w:right w:val="single" w:sz="4" w:space="0" w:color="auto"/>
            </w:tcBorders>
            <w:tcMar>
              <w:left w:w="28" w:type="dxa"/>
              <w:right w:w="28" w:type="dxa"/>
            </w:tcMar>
          </w:tcPr>
          <w:p w:rsidR="002A6C3B" w:rsidRPr="00250CC4" w:rsidRDefault="002A6C3B" w:rsidP="00D90CCB">
            <w:pPr>
              <w:jc w:val="center"/>
              <w:rPr>
                <w:sz w:val="22"/>
                <w:szCs w:val="22"/>
                <w:lang w:val="en-GB"/>
              </w:rPr>
            </w:pPr>
            <w:r w:rsidRPr="00250CC4">
              <w:rPr>
                <w:sz w:val="22"/>
                <w:szCs w:val="22"/>
                <w:lang w:val="en-GB"/>
              </w:rPr>
              <w:t>Date of publishing invitation</w:t>
            </w:r>
          </w:p>
        </w:tc>
        <w:tc>
          <w:tcPr>
            <w:tcW w:w="1144" w:type="dxa"/>
            <w:tcBorders>
              <w:top w:val="single" w:sz="4" w:space="0" w:color="auto"/>
              <w:left w:val="single" w:sz="4" w:space="0" w:color="auto"/>
              <w:bottom w:val="single" w:sz="4" w:space="0" w:color="auto"/>
              <w:right w:val="single" w:sz="4" w:space="0" w:color="auto"/>
            </w:tcBorders>
            <w:tcMar>
              <w:left w:w="28" w:type="dxa"/>
              <w:right w:w="28" w:type="dxa"/>
            </w:tcMar>
          </w:tcPr>
          <w:p w:rsidR="002A6C3B" w:rsidRPr="00250CC4" w:rsidRDefault="002A6C3B" w:rsidP="00D90CCB">
            <w:pPr>
              <w:jc w:val="center"/>
              <w:rPr>
                <w:sz w:val="22"/>
                <w:szCs w:val="22"/>
                <w:lang w:val="en-GB"/>
              </w:rPr>
            </w:pPr>
            <w:r w:rsidRPr="00250CC4">
              <w:rPr>
                <w:color w:val="000000"/>
                <w:sz w:val="22"/>
                <w:szCs w:val="22"/>
                <w:lang w:val="en-GB"/>
              </w:rPr>
              <w:t>Deadline for submitting offers</w:t>
            </w:r>
          </w:p>
        </w:tc>
        <w:tc>
          <w:tcPr>
            <w:tcW w:w="952" w:type="dxa"/>
            <w:tcBorders>
              <w:top w:val="single" w:sz="4" w:space="0" w:color="auto"/>
              <w:left w:val="single" w:sz="4" w:space="0" w:color="auto"/>
              <w:bottom w:val="single" w:sz="4" w:space="0" w:color="auto"/>
              <w:right w:val="single" w:sz="4" w:space="0" w:color="auto"/>
            </w:tcBorders>
            <w:tcMar>
              <w:left w:w="28" w:type="dxa"/>
              <w:right w:w="28" w:type="dxa"/>
            </w:tcMar>
          </w:tcPr>
          <w:p w:rsidR="002A6C3B" w:rsidRPr="00250CC4" w:rsidRDefault="002A6C3B" w:rsidP="00D90CCB">
            <w:pPr>
              <w:jc w:val="center"/>
              <w:rPr>
                <w:sz w:val="22"/>
                <w:szCs w:val="22"/>
                <w:lang w:val="en-GB"/>
              </w:rPr>
            </w:pPr>
            <w:r w:rsidRPr="00250CC4">
              <w:rPr>
                <w:sz w:val="22"/>
                <w:szCs w:val="22"/>
                <w:lang w:val="en-GB"/>
              </w:rPr>
              <w:t>Number of submitted offers</w:t>
            </w:r>
          </w:p>
        </w:tc>
        <w:tc>
          <w:tcPr>
            <w:tcW w:w="1270" w:type="dxa"/>
            <w:tcBorders>
              <w:top w:val="single" w:sz="4" w:space="0" w:color="auto"/>
              <w:left w:val="single" w:sz="4" w:space="0" w:color="auto"/>
              <w:bottom w:val="single" w:sz="4" w:space="0" w:color="auto"/>
              <w:right w:val="single" w:sz="4" w:space="0" w:color="auto"/>
            </w:tcBorders>
            <w:tcMar>
              <w:left w:w="28" w:type="dxa"/>
              <w:right w:w="28" w:type="dxa"/>
            </w:tcMar>
          </w:tcPr>
          <w:p w:rsidR="002A6C3B" w:rsidRPr="00250CC4" w:rsidRDefault="002A6C3B" w:rsidP="00D90CCB">
            <w:pPr>
              <w:jc w:val="center"/>
              <w:rPr>
                <w:sz w:val="22"/>
                <w:szCs w:val="22"/>
                <w:lang w:val="en-GB"/>
              </w:rPr>
            </w:pPr>
            <w:r w:rsidRPr="00250CC4">
              <w:rPr>
                <w:sz w:val="22"/>
                <w:szCs w:val="22"/>
                <w:lang w:val="en-GB"/>
              </w:rPr>
              <w:t>Contractor</w:t>
            </w:r>
          </w:p>
        </w:tc>
        <w:tc>
          <w:tcPr>
            <w:tcW w:w="1378" w:type="dxa"/>
            <w:tcBorders>
              <w:top w:val="single" w:sz="4" w:space="0" w:color="auto"/>
              <w:left w:val="single" w:sz="4" w:space="0" w:color="auto"/>
              <w:bottom w:val="single" w:sz="4" w:space="0" w:color="auto"/>
              <w:right w:val="single" w:sz="4" w:space="0" w:color="auto"/>
            </w:tcBorders>
            <w:tcMar>
              <w:left w:w="28" w:type="dxa"/>
              <w:right w:w="28" w:type="dxa"/>
            </w:tcMar>
          </w:tcPr>
          <w:p w:rsidR="002A6C3B" w:rsidRPr="00250CC4" w:rsidRDefault="002A6C3B" w:rsidP="00D90CCB">
            <w:pPr>
              <w:jc w:val="center"/>
              <w:rPr>
                <w:sz w:val="22"/>
                <w:szCs w:val="22"/>
                <w:lang w:val="en-GB"/>
              </w:rPr>
            </w:pPr>
            <w:r w:rsidRPr="00250CC4">
              <w:rPr>
                <w:sz w:val="22"/>
                <w:szCs w:val="22"/>
                <w:lang w:val="en-GB"/>
              </w:rPr>
              <w:t>Date of decision of Procurement Commission</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2A6C3B" w:rsidRPr="00250CC4" w:rsidRDefault="00EB337B" w:rsidP="00D90CCB">
            <w:pPr>
              <w:jc w:val="center"/>
              <w:rPr>
                <w:sz w:val="22"/>
                <w:szCs w:val="22"/>
                <w:lang w:val="en-GB"/>
              </w:rPr>
            </w:pPr>
            <w:r w:rsidRPr="00250CC4">
              <w:rPr>
                <w:lang w:val="en-GB"/>
              </w:rPr>
              <w:t>Time of delivery</w:t>
            </w: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tcPr>
          <w:p w:rsidR="002A6C3B" w:rsidRPr="00250CC4" w:rsidRDefault="002A6C3B" w:rsidP="00D90CCB">
            <w:pPr>
              <w:jc w:val="center"/>
              <w:rPr>
                <w:sz w:val="22"/>
                <w:szCs w:val="22"/>
                <w:lang w:val="en-GB"/>
              </w:rPr>
            </w:pPr>
            <w:r w:rsidRPr="00250CC4">
              <w:rPr>
                <w:sz w:val="22"/>
                <w:szCs w:val="22"/>
                <w:lang w:val="en-GB"/>
              </w:rPr>
              <w:t>Contract price (VAT excluded)</w:t>
            </w:r>
          </w:p>
        </w:tc>
      </w:tr>
      <w:tr w:rsidR="002A6C3B" w:rsidRPr="00250CC4" w:rsidTr="00D90CCB">
        <w:trPr>
          <w:trHeight w:val="1073"/>
        </w:trPr>
        <w:tc>
          <w:tcPr>
            <w:tcW w:w="6568" w:type="dxa"/>
            <w:tcBorders>
              <w:top w:val="single" w:sz="4" w:space="0" w:color="auto"/>
              <w:left w:val="single" w:sz="4" w:space="0" w:color="auto"/>
              <w:bottom w:val="single" w:sz="4" w:space="0" w:color="auto"/>
              <w:right w:val="single" w:sz="4" w:space="0" w:color="auto"/>
            </w:tcBorders>
            <w:tcMar>
              <w:left w:w="28" w:type="dxa"/>
              <w:right w:w="28" w:type="dxa"/>
            </w:tcMar>
          </w:tcPr>
          <w:p w:rsidR="002A6C3B" w:rsidRPr="00250CC4" w:rsidRDefault="002A6C3B" w:rsidP="00D90CCB">
            <w:pPr>
              <w:tabs>
                <w:tab w:val="left" w:pos="855"/>
              </w:tabs>
              <w:rPr>
                <w:lang w:val="en-GB"/>
              </w:rPr>
            </w:pPr>
            <w:r w:rsidRPr="00250CC4">
              <w:rPr>
                <w:color w:val="000000"/>
                <w:lang w:val="en-GB"/>
              </w:rPr>
              <w:t xml:space="preserve">The </w:t>
            </w:r>
            <w:r w:rsidR="00C677F7" w:rsidRPr="00250CC4">
              <w:rPr>
                <w:color w:val="000000"/>
                <w:lang w:val="en-GB"/>
              </w:rPr>
              <w:t>access</w:t>
            </w:r>
            <w:r w:rsidRPr="00250CC4">
              <w:rPr>
                <w:color w:val="000000"/>
                <w:lang w:val="en-GB"/>
              </w:rPr>
              <w:t xml:space="preserve"> licenses for on-line access to journals from publisher "Nature Publishing Group" in accordance with the Technical Specification.</w:t>
            </w:r>
            <w:r w:rsidRPr="00250CC4">
              <w:rPr>
                <w:lang w:val="en-GB"/>
              </w:rPr>
              <w:br/>
              <w:t>Time of delivery as of the day entering into the Contract: 7 (seven) calendar days.</w:t>
            </w:r>
          </w:p>
          <w:p w:rsidR="002A6C3B" w:rsidRPr="00250CC4" w:rsidRDefault="002A6C3B" w:rsidP="00D90CCB">
            <w:pPr>
              <w:spacing w:before="60"/>
              <w:jc w:val="both"/>
              <w:rPr>
                <w:i/>
                <w:sz w:val="22"/>
                <w:szCs w:val="22"/>
                <w:lang w:val="en-GB"/>
              </w:rPr>
            </w:pPr>
            <w:r w:rsidRPr="00250CC4">
              <w:rPr>
                <w:lang w:val="en-GB"/>
              </w:rPr>
              <w:t xml:space="preserve">CPV code: </w:t>
            </w:r>
            <w:r w:rsidRPr="00250CC4">
              <w:rPr>
                <w:sz w:val="22"/>
                <w:szCs w:val="22"/>
              </w:rPr>
              <w:t>48218000-9</w:t>
            </w:r>
          </w:p>
        </w:tc>
        <w:tc>
          <w:tcPr>
            <w:tcW w:w="1122" w:type="dxa"/>
            <w:tcBorders>
              <w:top w:val="single" w:sz="4" w:space="0" w:color="auto"/>
              <w:left w:val="single" w:sz="4" w:space="0" w:color="auto"/>
              <w:bottom w:val="single" w:sz="4" w:space="0" w:color="auto"/>
              <w:right w:val="single" w:sz="4" w:space="0" w:color="auto"/>
            </w:tcBorders>
            <w:tcMar>
              <w:left w:w="28" w:type="dxa"/>
              <w:right w:w="28" w:type="dxa"/>
            </w:tcMar>
          </w:tcPr>
          <w:p w:rsidR="002A6C3B" w:rsidRPr="00250CC4" w:rsidRDefault="002A6C3B" w:rsidP="00D90CCB">
            <w:pPr>
              <w:jc w:val="center"/>
              <w:rPr>
                <w:sz w:val="22"/>
                <w:szCs w:val="22"/>
                <w:lang w:val="en-GB"/>
              </w:rPr>
            </w:pPr>
            <w:r w:rsidRPr="00250CC4">
              <w:rPr>
                <w:sz w:val="22"/>
                <w:szCs w:val="22"/>
                <w:lang w:val="en-GB"/>
              </w:rPr>
              <w:t xml:space="preserve">Between </w:t>
            </w:r>
            <w:r w:rsidRPr="00250CC4">
              <w:rPr>
                <w:sz w:val="22"/>
                <w:szCs w:val="22"/>
                <w:lang w:val="en-GB"/>
              </w:rPr>
              <w:br/>
              <w:t>4 000 and 41 999.99 EUR</w:t>
            </w:r>
          </w:p>
        </w:tc>
        <w:tc>
          <w:tcPr>
            <w:tcW w:w="1122" w:type="dxa"/>
            <w:tcBorders>
              <w:top w:val="single" w:sz="4" w:space="0" w:color="auto"/>
              <w:left w:val="single" w:sz="4" w:space="0" w:color="auto"/>
              <w:bottom w:val="single" w:sz="4" w:space="0" w:color="auto"/>
              <w:right w:val="single" w:sz="4" w:space="0" w:color="auto"/>
            </w:tcBorders>
            <w:tcMar>
              <w:left w:w="28" w:type="dxa"/>
              <w:right w:w="28" w:type="dxa"/>
            </w:tcMar>
          </w:tcPr>
          <w:p w:rsidR="002A6C3B" w:rsidRPr="00250CC4" w:rsidRDefault="002A6C3B" w:rsidP="002A6C3B">
            <w:pPr>
              <w:jc w:val="center"/>
              <w:rPr>
                <w:sz w:val="22"/>
                <w:szCs w:val="22"/>
                <w:lang w:val="en-GB"/>
              </w:rPr>
            </w:pPr>
            <w:r w:rsidRPr="00250CC4">
              <w:rPr>
                <w:sz w:val="22"/>
                <w:szCs w:val="22"/>
                <w:lang w:val="en-GB"/>
              </w:rPr>
              <w:t>27.11. 2015</w:t>
            </w:r>
          </w:p>
        </w:tc>
        <w:tc>
          <w:tcPr>
            <w:tcW w:w="1144" w:type="dxa"/>
            <w:tcBorders>
              <w:top w:val="single" w:sz="4" w:space="0" w:color="auto"/>
              <w:left w:val="single" w:sz="4" w:space="0" w:color="auto"/>
              <w:bottom w:val="single" w:sz="4" w:space="0" w:color="auto"/>
              <w:right w:val="single" w:sz="4" w:space="0" w:color="auto"/>
            </w:tcBorders>
            <w:tcMar>
              <w:left w:w="28" w:type="dxa"/>
              <w:right w:w="28" w:type="dxa"/>
            </w:tcMar>
          </w:tcPr>
          <w:p w:rsidR="002A6C3B" w:rsidRPr="00250CC4" w:rsidRDefault="002A6C3B" w:rsidP="00D90CCB">
            <w:pPr>
              <w:jc w:val="center"/>
              <w:rPr>
                <w:sz w:val="22"/>
                <w:szCs w:val="22"/>
                <w:lang w:val="en-GB"/>
              </w:rPr>
            </w:pPr>
            <w:r w:rsidRPr="00250CC4">
              <w:rPr>
                <w:sz w:val="22"/>
                <w:szCs w:val="22"/>
                <w:lang w:val="en-GB"/>
              </w:rPr>
              <w:t>08.12. 2015</w:t>
            </w:r>
          </w:p>
          <w:p w:rsidR="002A6C3B" w:rsidRPr="00250CC4" w:rsidRDefault="002A6C3B" w:rsidP="00D90CCB">
            <w:pPr>
              <w:jc w:val="center"/>
              <w:rPr>
                <w:sz w:val="22"/>
                <w:szCs w:val="22"/>
                <w:lang w:val="en-GB"/>
              </w:rPr>
            </w:pPr>
            <w:r w:rsidRPr="00250CC4">
              <w:rPr>
                <w:sz w:val="22"/>
                <w:szCs w:val="22"/>
                <w:lang w:val="en-GB"/>
              </w:rPr>
              <w:t>10:00</w:t>
            </w:r>
          </w:p>
        </w:tc>
        <w:tc>
          <w:tcPr>
            <w:tcW w:w="952" w:type="dxa"/>
            <w:tcBorders>
              <w:top w:val="single" w:sz="4" w:space="0" w:color="auto"/>
              <w:left w:val="single" w:sz="4" w:space="0" w:color="auto"/>
              <w:bottom w:val="single" w:sz="4" w:space="0" w:color="auto"/>
              <w:right w:val="single" w:sz="4" w:space="0" w:color="auto"/>
            </w:tcBorders>
            <w:tcMar>
              <w:left w:w="28" w:type="dxa"/>
              <w:right w:w="28" w:type="dxa"/>
            </w:tcMar>
          </w:tcPr>
          <w:p w:rsidR="002A6C3B" w:rsidRPr="00250CC4" w:rsidRDefault="002A6C3B" w:rsidP="00D90CCB">
            <w:pPr>
              <w:jc w:val="center"/>
              <w:rPr>
                <w:sz w:val="22"/>
                <w:szCs w:val="22"/>
                <w:lang w:val="en-GB"/>
              </w:rPr>
            </w:pPr>
          </w:p>
        </w:tc>
        <w:tc>
          <w:tcPr>
            <w:tcW w:w="1270" w:type="dxa"/>
            <w:tcBorders>
              <w:top w:val="single" w:sz="4" w:space="0" w:color="auto"/>
              <w:left w:val="single" w:sz="4" w:space="0" w:color="auto"/>
              <w:bottom w:val="single" w:sz="4" w:space="0" w:color="auto"/>
              <w:right w:val="single" w:sz="4" w:space="0" w:color="auto"/>
            </w:tcBorders>
            <w:tcMar>
              <w:left w:w="28" w:type="dxa"/>
              <w:right w:w="28" w:type="dxa"/>
            </w:tcMar>
          </w:tcPr>
          <w:p w:rsidR="002A6C3B" w:rsidRPr="00250CC4" w:rsidRDefault="002A6C3B" w:rsidP="00D90CCB">
            <w:pPr>
              <w:spacing w:before="120"/>
              <w:jc w:val="center"/>
              <w:rPr>
                <w:sz w:val="22"/>
                <w:szCs w:val="22"/>
                <w:lang w:val="en-GB"/>
              </w:rPr>
            </w:pPr>
          </w:p>
        </w:tc>
        <w:tc>
          <w:tcPr>
            <w:tcW w:w="1378" w:type="dxa"/>
            <w:tcBorders>
              <w:top w:val="single" w:sz="4" w:space="0" w:color="auto"/>
              <w:left w:val="single" w:sz="4" w:space="0" w:color="auto"/>
              <w:bottom w:val="single" w:sz="4" w:space="0" w:color="auto"/>
              <w:right w:val="single" w:sz="4" w:space="0" w:color="auto"/>
            </w:tcBorders>
            <w:tcMar>
              <w:left w:w="28" w:type="dxa"/>
              <w:right w:w="28" w:type="dxa"/>
            </w:tcMar>
          </w:tcPr>
          <w:p w:rsidR="002A6C3B" w:rsidRPr="00250CC4" w:rsidRDefault="002A6C3B" w:rsidP="00D90CCB">
            <w:pPr>
              <w:spacing w:before="120"/>
              <w:jc w:val="center"/>
              <w:rPr>
                <w:sz w:val="22"/>
                <w:szCs w:val="22"/>
                <w:lang w:val="en-GB"/>
              </w:rPr>
            </w:pP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2A6C3B" w:rsidRPr="00250CC4" w:rsidRDefault="002A6C3B" w:rsidP="00D90CCB">
            <w:pPr>
              <w:spacing w:before="120"/>
              <w:jc w:val="center"/>
              <w:rPr>
                <w:sz w:val="22"/>
                <w:szCs w:val="22"/>
                <w:lang w:val="en-GB"/>
              </w:rPr>
            </w:pPr>
          </w:p>
        </w:tc>
        <w:tc>
          <w:tcPr>
            <w:tcW w:w="1132" w:type="dxa"/>
            <w:tcBorders>
              <w:top w:val="single" w:sz="4" w:space="0" w:color="auto"/>
              <w:left w:val="single" w:sz="4" w:space="0" w:color="auto"/>
              <w:bottom w:val="single" w:sz="4" w:space="0" w:color="auto"/>
              <w:right w:val="single" w:sz="4" w:space="0" w:color="auto"/>
            </w:tcBorders>
            <w:tcMar>
              <w:left w:w="28" w:type="dxa"/>
              <w:right w:w="28" w:type="dxa"/>
            </w:tcMar>
          </w:tcPr>
          <w:p w:rsidR="002A6C3B" w:rsidRPr="00250CC4" w:rsidRDefault="002A6C3B" w:rsidP="00D90CCB">
            <w:pPr>
              <w:spacing w:before="120"/>
              <w:jc w:val="center"/>
              <w:rPr>
                <w:sz w:val="22"/>
                <w:szCs w:val="22"/>
                <w:lang w:val="en-GB"/>
              </w:rPr>
            </w:pPr>
          </w:p>
        </w:tc>
      </w:tr>
    </w:tbl>
    <w:p w:rsidR="00194F61" w:rsidRPr="00250CC4" w:rsidRDefault="002A6C3B" w:rsidP="002C53FE">
      <w:pPr>
        <w:spacing w:before="120"/>
        <w:rPr>
          <w:sz w:val="22"/>
          <w:szCs w:val="22"/>
        </w:rPr>
      </w:pPr>
      <w:r w:rsidRPr="00250CC4">
        <w:rPr>
          <w:bCs/>
          <w:lang w:val="en-GB"/>
        </w:rPr>
        <w:t>Contact person</w:t>
      </w:r>
      <w:r w:rsidRPr="00250CC4">
        <w:rPr>
          <w:sz w:val="22"/>
          <w:szCs w:val="22"/>
          <w:lang w:val="en-GB"/>
        </w:rPr>
        <w:t xml:space="preserve">: </w:t>
      </w:r>
      <w:r w:rsidR="00EE378E" w:rsidRPr="00250CC4">
        <w:t>Jānis Pinnis</w:t>
      </w:r>
      <w:r w:rsidRPr="00250CC4">
        <w:rPr>
          <w:sz w:val="22"/>
          <w:szCs w:val="22"/>
          <w:lang w:val="en-GB"/>
        </w:rPr>
        <w:t xml:space="preserve">, telephone: +371 </w:t>
      </w:r>
      <w:r w:rsidR="00EE378E" w:rsidRPr="00250CC4">
        <w:t>67260545</w:t>
      </w:r>
      <w:r w:rsidRPr="00250CC4">
        <w:rPr>
          <w:sz w:val="22"/>
          <w:szCs w:val="22"/>
          <w:lang w:val="en-GB"/>
        </w:rPr>
        <w:t xml:space="preserve">, +371 </w:t>
      </w:r>
      <w:r w:rsidR="00EE378E" w:rsidRPr="00250CC4">
        <w:t>29680881</w:t>
      </w:r>
      <w:r w:rsidRPr="00250CC4">
        <w:rPr>
          <w:sz w:val="22"/>
          <w:szCs w:val="22"/>
          <w:lang w:val="en-GB"/>
        </w:rPr>
        <w:t xml:space="preserve">, fax: +371 67132778, e-mail: </w:t>
      </w:r>
      <w:hyperlink r:id="rId12" w:history="1">
        <w:r w:rsidR="00EE378E" w:rsidRPr="00250CC4">
          <w:rPr>
            <w:rStyle w:val="Hyperlink"/>
          </w:rPr>
          <w:t>Janis.Pinnis@cfi.lu.lv</w:t>
        </w:r>
      </w:hyperlink>
    </w:p>
    <w:p w:rsidR="00194F61" w:rsidRPr="00250CC4" w:rsidRDefault="00194F61" w:rsidP="000F799F">
      <w:pPr>
        <w:rPr>
          <w:sz w:val="22"/>
          <w:szCs w:val="22"/>
        </w:rPr>
        <w:sectPr w:rsidR="00194F61" w:rsidRPr="00250CC4" w:rsidSect="00D74BD4">
          <w:footerReference w:type="default" r:id="rId13"/>
          <w:pgSz w:w="16838" w:h="11906" w:orient="landscape" w:code="9"/>
          <w:pgMar w:top="851" w:right="567" w:bottom="567" w:left="851" w:header="510" w:footer="510" w:gutter="0"/>
          <w:cols w:space="708"/>
          <w:docGrid w:linePitch="360"/>
        </w:sectPr>
      </w:pPr>
    </w:p>
    <w:p w:rsidR="00194F61" w:rsidRPr="00250CC4" w:rsidRDefault="00194F61" w:rsidP="00194F61">
      <w:pPr>
        <w:jc w:val="right"/>
        <w:rPr>
          <w:sz w:val="22"/>
          <w:szCs w:val="22"/>
        </w:rPr>
      </w:pPr>
      <w:r w:rsidRPr="00250CC4">
        <w:rPr>
          <w:sz w:val="22"/>
          <w:szCs w:val="22"/>
        </w:rPr>
        <w:lastRenderedPageBreak/>
        <w:t>1. pielikums</w:t>
      </w:r>
      <w:r w:rsidR="00107369" w:rsidRPr="00250CC4">
        <w:rPr>
          <w:sz w:val="22"/>
          <w:szCs w:val="22"/>
        </w:rPr>
        <w:t xml:space="preserve"> / </w:t>
      </w:r>
      <w:proofErr w:type="spellStart"/>
      <w:r w:rsidR="00107369" w:rsidRPr="00250CC4">
        <w:rPr>
          <w:sz w:val="22"/>
          <w:szCs w:val="22"/>
        </w:rPr>
        <w:t>Annex</w:t>
      </w:r>
      <w:proofErr w:type="spellEnd"/>
      <w:r w:rsidR="00107369" w:rsidRPr="00250CC4">
        <w:rPr>
          <w:sz w:val="22"/>
          <w:szCs w:val="22"/>
        </w:rPr>
        <w:t xml:space="preserve"> 1</w:t>
      </w:r>
    </w:p>
    <w:p w:rsidR="007E10E1" w:rsidRPr="00250CC4" w:rsidRDefault="007E10E1" w:rsidP="007E10E1">
      <w:pPr>
        <w:tabs>
          <w:tab w:val="left" w:pos="855"/>
        </w:tabs>
        <w:jc w:val="right"/>
        <w:rPr>
          <w:sz w:val="22"/>
          <w:szCs w:val="22"/>
        </w:rPr>
      </w:pPr>
      <w:r w:rsidRPr="00250CC4">
        <w:rPr>
          <w:sz w:val="22"/>
          <w:szCs w:val="22"/>
        </w:rPr>
        <w:t>iepirkuma LU CFI 2015/4</w:t>
      </w:r>
      <w:r w:rsidR="000921D3" w:rsidRPr="00250CC4">
        <w:rPr>
          <w:sz w:val="22"/>
          <w:szCs w:val="22"/>
        </w:rPr>
        <w:t>4</w:t>
      </w:r>
      <w:r w:rsidR="00BB6EA3" w:rsidRPr="00250CC4">
        <w:rPr>
          <w:sz w:val="22"/>
          <w:szCs w:val="22"/>
        </w:rPr>
        <w:t>/ERAF</w:t>
      </w:r>
      <w:r w:rsidRPr="00250CC4">
        <w:rPr>
          <w:sz w:val="22"/>
          <w:szCs w:val="22"/>
        </w:rPr>
        <w:t xml:space="preserve"> „</w:t>
      </w:r>
      <w:r w:rsidR="00107369" w:rsidRPr="00250CC4">
        <w:rPr>
          <w:color w:val="000000"/>
        </w:rPr>
        <w:t>Tiešsaistes pieejas licences (</w:t>
      </w:r>
      <w:proofErr w:type="spellStart"/>
      <w:r w:rsidR="00107369" w:rsidRPr="00250CC4">
        <w:rPr>
          <w:color w:val="000000"/>
        </w:rPr>
        <w:t>the</w:t>
      </w:r>
      <w:proofErr w:type="spellEnd"/>
      <w:r w:rsidR="00107369" w:rsidRPr="00250CC4">
        <w:rPr>
          <w:color w:val="000000"/>
        </w:rPr>
        <w:t xml:space="preserve"> </w:t>
      </w:r>
      <w:proofErr w:type="spellStart"/>
      <w:r w:rsidR="00107369" w:rsidRPr="00250CC4">
        <w:rPr>
          <w:color w:val="000000"/>
        </w:rPr>
        <w:t>site</w:t>
      </w:r>
      <w:proofErr w:type="spellEnd"/>
      <w:r w:rsidR="00107369" w:rsidRPr="00250CC4">
        <w:rPr>
          <w:color w:val="000000"/>
        </w:rPr>
        <w:t xml:space="preserve"> </w:t>
      </w:r>
      <w:proofErr w:type="spellStart"/>
      <w:r w:rsidR="00107369" w:rsidRPr="00250CC4">
        <w:rPr>
          <w:color w:val="000000"/>
        </w:rPr>
        <w:t>licenses</w:t>
      </w:r>
      <w:proofErr w:type="spellEnd"/>
      <w:r w:rsidR="00107369" w:rsidRPr="00250CC4">
        <w:rPr>
          <w:color w:val="000000"/>
        </w:rPr>
        <w:t>) izdevniecības "</w:t>
      </w:r>
      <w:proofErr w:type="spellStart"/>
      <w:r w:rsidR="00107369" w:rsidRPr="00250CC4">
        <w:rPr>
          <w:color w:val="000000"/>
        </w:rPr>
        <w:t>Nature</w:t>
      </w:r>
      <w:proofErr w:type="spellEnd"/>
      <w:r w:rsidR="00107369" w:rsidRPr="00250CC4">
        <w:rPr>
          <w:color w:val="000000"/>
        </w:rPr>
        <w:t xml:space="preserve"> </w:t>
      </w:r>
      <w:proofErr w:type="spellStart"/>
      <w:r w:rsidR="00107369" w:rsidRPr="00250CC4">
        <w:rPr>
          <w:color w:val="000000"/>
        </w:rPr>
        <w:t>Publishing</w:t>
      </w:r>
      <w:proofErr w:type="spellEnd"/>
      <w:r w:rsidR="00107369" w:rsidRPr="00250CC4">
        <w:rPr>
          <w:color w:val="000000"/>
        </w:rPr>
        <w:t xml:space="preserve"> </w:t>
      </w:r>
      <w:proofErr w:type="spellStart"/>
      <w:r w:rsidR="00107369" w:rsidRPr="00250CC4">
        <w:rPr>
          <w:color w:val="000000"/>
        </w:rPr>
        <w:t>Group</w:t>
      </w:r>
      <w:proofErr w:type="spellEnd"/>
      <w:r w:rsidR="00107369" w:rsidRPr="00250CC4">
        <w:rPr>
          <w:color w:val="000000"/>
        </w:rPr>
        <w:t>" žurnāliem</w:t>
      </w:r>
      <w:r w:rsidRPr="00250CC4">
        <w:rPr>
          <w:sz w:val="22"/>
          <w:szCs w:val="22"/>
        </w:rPr>
        <w:t>” Uzaicinājumam</w:t>
      </w:r>
    </w:p>
    <w:p w:rsidR="00830894" w:rsidRPr="00250CC4" w:rsidRDefault="00830894" w:rsidP="00EF486E">
      <w:pPr>
        <w:spacing w:before="120"/>
        <w:jc w:val="both"/>
        <w:rPr>
          <w:b/>
          <w:bCs/>
        </w:rPr>
      </w:pPr>
    </w:p>
    <w:tbl>
      <w:tblPr>
        <w:tblStyle w:val="TableGrid"/>
        <w:tblW w:w="10031" w:type="dxa"/>
        <w:tblInd w:w="0" w:type="dxa"/>
        <w:tblLook w:val="04A0" w:firstRow="1" w:lastRow="0" w:firstColumn="1" w:lastColumn="0" w:noHBand="0" w:noVBand="1"/>
      </w:tblPr>
      <w:tblGrid>
        <w:gridCol w:w="4786"/>
        <w:gridCol w:w="5245"/>
      </w:tblGrid>
      <w:tr w:rsidR="00DC6C50" w:rsidRPr="00250CC4" w:rsidTr="002A6C3B">
        <w:tc>
          <w:tcPr>
            <w:tcW w:w="4786" w:type="dxa"/>
          </w:tcPr>
          <w:p w:rsidR="00DC6C50" w:rsidRPr="00250CC4" w:rsidRDefault="00DC6C50" w:rsidP="00DC6C50">
            <w:pPr>
              <w:spacing w:before="120"/>
              <w:jc w:val="both"/>
              <w:rPr>
                <w:b/>
                <w:bCs/>
              </w:rPr>
            </w:pPr>
            <w:r w:rsidRPr="00250CC4">
              <w:rPr>
                <w:b/>
                <w:bCs/>
              </w:rPr>
              <w:t xml:space="preserve">PIEDĀVĀJUMA IESNIEGŠANA UN VĒRTĒŠANA </w:t>
            </w:r>
          </w:p>
          <w:p w:rsidR="00DC6C50" w:rsidRPr="00250CC4" w:rsidRDefault="00DC6C50" w:rsidP="00DC6C50">
            <w:pPr>
              <w:spacing w:before="120"/>
              <w:jc w:val="both"/>
              <w:rPr>
                <w:b/>
                <w:bCs/>
              </w:rPr>
            </w:pPr>
            <w:r w:rsidRPr="00250CC4">
              <w:rPr>
                <w:b/>
                <w:bCs/>
              </w:rPr>
              <w:t>1. Piedāvājuma iesniegšana:</w:t>
            </w:r>
          </w:p>
          <w:p w:rsidR="00DC6C50" w:rsidRPr="00250CC4" w:rsidRDefault="00DC6C50" w:rsidP="00DC6C50">
            <w:pPr>
              <w:spacing w:before="120"/>
              <w:jc w:val="both"/>
            </w:pPr>
            <w:r w:rsidRPr="00250CC4">
              <w:t>1.1. Pretendents drīkst iesniegt vienu piedāvājumu. Piedāvājums jāiesniedz par visu apjomu.</w:t>
            </w:r>
          </w:p>
          <w:p w:rsidR="00DC6C50" w:rsidRPr="00250CC4" w:rsidRDefault="00DC6C50" w:rsidP="00DC6C50">
            <w:pPr>
              <w:spacing w:before="120"/>
              <w:jc w:val="both"/>
            </w:pPr>
            <w:r w:rsidRPr="00250CC4">
              <w:t xml:space="preserve">1.2. Piedāvājums sastāv no: Pieteikuma-Tehniskā-Finanšu piedāvājuma (atbilstoši Uzaicinājuma pielikumā Nr.2 dotajai formai). </w:t>
            </w:r>
            <w:r w:rsidRPr="00250CC4">
              <w:rPr>
                <w:u w:val="single"/>
              </w:rPr>
              <w:t>Piedāvājums var tikt iesniegts arī kā detalizēts rēķins</w:t>
            </w:r>
            <w:r w:rsidR="00282143" w:rsidRPr="00250CC4">
              <w:rPr>
                <w:u w:val="single"/>
              </w:rPr>
              <w:t xml:space="preserve"> vai piedāvājuma </w:t>
            </w:r>
            <w:proofErr w:type="spellStart"/>
            <w:r w:rsidR="00282143" w:rsidRPr="00250CC4">
              <w:rPr>
                <w:u w:val="single"/>
              </w:rPr>
              <w:t>kvotācija</w:t>
            </w:r>
            <w:proofErr w:type="spellEnd"/>
            <w:r w:rsidR="00282143" w:rsidRPr="00250CC4">
              <w:rPr>
                <w:u w:val="single"/>
              </w:rPr>
              <w:t xml:space="preserve"> / </w:t>
            </w:r>
            <w:proofErr w:type="spellStart"/>
            <w:r w:rsidR="00282143" w:rsidRPr="00250CC4">
              <w:rPr>
                <w:u w:val="single"/>
              </w:rPr>
              <w:t>pro-forma</w:t>
            </w:r>
            <w:r w:rsidRPr="00250CC4">
              <w:t>.</w:t>
            </w:r>
            <w:proofErr w:type="spellEnd"/>
          </w:p>
          <w:p w:rsidR="00DC6C50" w:rsidRPr="00250CC4" w:rsidRDefault="00DC6C50" w:rsidP="00DC6C50">
            <w:pPr>
              <w:spacing w:before="120"/>
              <w:jc w:val="both"/>
            </w:pPr>
            <w:r w:rsidRPr="00250CC4">
              <w:t xml:space="preserve">1.3. Piedāvājumu var iesniegt sūtot pa pastu uz adresi: Latvijas Universitātes Cietvielu fizikas institūts, Ķengaraga iela 8, Rīga, LV-1063, vai nogādājot to ar kurjerpastu vai personīgi minētajā adresē 2.stāvā sekretariātā darba dienās no 8.30 līdz 17.00. </w:t>
            </w:r>
            <w:r w:rsidRPr="00250CC4">
              <w:rPr>
                <w:u w:val="single"/>
              </w:rPr>
              <w:t>Piedāvājumu var iesniegt arī pa e-pastu vai faksu</w:t>
            </w:r>
            <w:r w:rsidRPr="00250CC4">
              <w:t xml:space="preserve">, oriģinālu iesniedzot vēlāk. </w:t>
            </w:r>
          </w:p>
          <w:p w:rsidR="00DC6C50" w:rsidRPr="00250CC4" w:rsidRDefault="00DC6C50" w:rsidP="00DC6C50">
            <w:pPr>
              <w:spacing w:before="120"/>
              <w:jc w:val="both"/>
              <w:rPr>
                <w:b/>
                <w:bCs/>
              </w:rPr>
            </w:pPr>
            <w:r w:rsidRPr="00250CC4">
              <w:rPr>
                <w:b/>
                <w:bCs/>
              </w:rPr>
              <w:t>2. Piedāvājumu vērtēšana un līguma slēgšana:</w:t>
            </w:r>
          </w:p>
          <w:p w:rsidR="00DC6C50" w:rsidRPr="00250CC4" w:rsidRDefault="00DC6C50" w:rsidP="00DC6C50">
            <w:pPr>
              <w:spacing w:before="120"/>
              <w:jc w:val="both"/>
            </w:pPr>
            <w:r w:rsidRPr="00250CC4">
              <w:t>2.1. Piedāvājumu vērtēšanas kritērijs: zemākā cena piedāvājumam, kas atbilst tehniskajām prasībām.</w:t>
            </w:r>
          </w:p>
          <w:p w:rsidR="00DC6C50" w:rsidRPr="00250CC4" w:rsidRDefault="00DC6C50" w:rsidP="00DC6C50">
            <w:pPr>
              <w:spacing w:before="120"/>
              <w:jc w:val="both"/>
            </w:pPr>
            <w:r w:rsidRPr="00250CC4">
              <w:t>2.2. Pasūtītājs izslēdz Pretendentu no dalības iepirkumā jebkurā no šādiem gadījumiem:</w:t>
            </w:r>
          </w:p>
          <w:p w:rsidR="00DC6C50" w:rsidRPr="00250CC4" w:rsidRDefault="00DC6C50" w:rsidP="00DC6C50">
            <w:pPr>
              <w:spacing w:before="120"/>
              <w:jc w:val="both"/>
            </w:pPr>
            <w:r w:rsidRPr="00250CC4">
              <w:t>2.2.1.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DC6C50" w:rsidRPr="00250CC4" w:rsidRDefault="00DC6C50" w:rsidP="00DC6C50">
            <w:pPr>
              <w:spacing w:before="120"/>
              <w:jc w:val="both"/>
            </w:pPr>
            <w:r w:rsidRPr="00250CC4">
              <w:t xml:space="preserve">2.2.2. ievērojot Valsts ieņēmumu dienesta publiskās nodokļu parādnieku datubāzes pēdējās datu aktualizācijas datumu, ir konstatēts, ka pretendentam dienā, kad </w:t>
            </w:r>
            <w:r w:rsidRPr="00250CC4">
              <w:lastRenderedPageBreak/>
              <w:t>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eiro;</w:t>
            </w:r>
          </w:p>
          <w:p w:rsidR="00DC6C50" w:rsidRPr="00250CC4" w:rsidRDefault="00DC6C50" w:rsidP="00DC6C50">
            <w:pPr>
              <w:spacing w:before="120"/>
              <w:jc w:val="both"/>
            </w:pPr>
            <w:r w:rsidRPr="00250CC4">
              <w:t>2.2.3.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punktos 2.2.1. un 2.2.2.  minētie nosacījumi.</w:t>
            </w:r>
          </w:p>
          <w:p w:rsidR="00DC6C50" w:rsidRPr="00250CC4" w:rsidRDefault="00DC6C50" w:rsidP="00DC6C50">
            <w:pPr>
              <w:spacing w:before="120"/>
              <w:jc w:val="both"/>
              <w:rPr>
                <w:rFonts w:eastAsia="Times New Roman"/>
                <w:color w:val="414142"/>
              </w:rPr>
            </w:pPr>
            <w:r w:rsidRPr="00250CC4">
              <w:rPr>
                <w:rFonts w:eastAsia="Times New Roman"/>
                <w:color w:val="414142"/>
              </w:rPr>
              <w:t xml:space="preserve">2.3. Lai izvērtētu pretendentu </w:t>
            </w:r>
            <w:r w:rsidRPr="00250CC4">
              <w:t>saskaņā ar punktu 2.2.,</w:t>
            </w:r>
            <w:r w:rsidRPr="00250CC4">
              <w:rPr>
                <w:rFonts w:eastAsia="Times New Roman"/>
                <w:color w:val="414142"/>
              </w:rPr>
              <w:t xml:space="preserve"> pasūtītājs:</w:t>
            </w:r>
          </w:p>
          <w:p w:rsidR="00DC6C50" w:rsidRPr="00250CC4" w:rsidRDefault="00DC6C50" w:rsidP="00DC6C50">
            <w:pPr>
              <w:spacing w:before="120"/>
              <w:jc w:val="both"/>
              <w:rPr>
                <w:rFonts w:eastAsia="Times New Roman"/>
                <w:color w:val="414142"/>
              </w:rPr>
            </w:pPr>
            <w:r w:rsidRPr="00250CC4">
              <w:rPr>
                <w:rFonts w:eastAsia="Times New Roman"/>
                <w:color w:val="414142"/>
              </w:rPr>
              <w:t>2.3.1. attiecībā uz pretendentu (neatkarīgi no tā reģistrācijas valsts vai pastāvīgās dzīvesvietas), izmantojot Ministru kabineta noteikto informācijas sistēmu, Ministru kabineta noteiktajā kārtībā iegūst informāciju:</w:t>
            </w:r>
          </w:p>
          <w:p w:rsidR="00DC6C50" w:rsidRPr="00250CC4" w:rsidRDefault="00DC6C50" w:rsidP="00DC6C50">
            <w:pPr>
              <w:spacing w:before="120"/>
              <w:jc w:val="both"/>
              <w:rPr>
                <w:rFonts w:eastAsia="Times New Roman"/>
                <w:color w:val="414142"/>
              </w:rPr>
            </w:pPr>
            <w:r w:rsidRPr="00250CC4">
              <w:rPr>
                <w:rFonts w:eastAsia="Times New Roman"/>
                <w:color w:val="414142"/>
              </w:rPr>
              <w:t>a) par punktā 2.2.1. minētajiem faktiem — no Uzņēmumu reģistra,</w:t>
            </w:r>
          </w:p>
          <w:p w:rsidR="00DC6C50" w:rsidRPr="00250CC4" w:rsidRDefault="00DC6C50" w:rsidP="00DC6C50">
            <w:pPr>
              <w:spacing w:before="120"/>
              <w:jc w:val="both"/>
              <w:rPr>
                <w:rFonts w:eastAsia="Times New Roman"/>
                <w:color w:val="414142"/>
              </w:rPr>
            </w:pPr>
            <w:r w:rsidRPr="00250CC4">
              <w:rPr>
                <w:rFonts w:eastAsia="Times New Roman"/>
                <w:color w:val="414142"/>
              </w:rPr>
              <w:t xml:space="preserve">b) par punktā 2.2.2. minēto faktu — no Valsts ieņēmumu dienesta. Pasūtītājs minēto informāciju no Valsts ieņēmumu dienesta ir tiesīgs saņemt, neprasot pretendenta </w:t>
            </w:r>
            <w:r w:rsidRPr="00250CC4">
              <w:t xml:space="preserve">un punktā 2.2.3. minēto personu </w:t>
            </w:r>
            <w:r w:rsidRPr="00250CC4">
              <w:rPr>
                <w:rFonts w:eastAsia="Times New Roman"/>
                <w:color w:val="414142"/>
              </w:rPr>
              <w:t>piekrišanu;</w:t>
            </w:r>
          </w:p>
          <w:p w:rsidR="00DC6C50" w:rsidRPr="00250CC4" w:rsidRDefault="00DC6C50" w:rsidP="00DC6C50">
            <w:pPr>
              <w:spacing w:before="120"/>
              <w:jc w:val="both"/>
              <w:rPr>
                <w:rFonts w:eastAsia="Times New Roman"/>
                <w:color w:val="414142"/>
              </w:rPr>
            </w:pPr>
            <w:r w:rsidRPr="00250CC4">
              <w:rPr>
                <w:rFonts w:eastAsia="Times New Roman"/>
                <w:color w:val="414142"/>
              </w:rPr>
              <w:t xml:space="preserve">2.3.2. attiecībā uz ārvalstī reģistrētu vai pastāvīgi dzīvojošu pretendentu papildus pieprasa, lai tas iesniedz attiecīgās ārvalsts kompetentās institūcijas izziņu, kas apliecina, ka uz to </w:t>
            </w:r>
            <w:r w:rsidRPr="00250CC4">
              <w:t xml:space="preserve">un punktā 2.2.3. minēto personu </w:t>
            </w:r>
            <w:r w:rsidRPr="00250CC4">
              <w:rPr>
                <w:rFonts w:eastAsia="Times New Roman"/>
                <w:color w:val="414142"/>
              </w:rPr>
              <w:t xml:space="preserve">neattiecas punktā 2.2. noteiktie gadījumi. Termiņu izziņu iesniegšanai pasūtītājs nosaka ne īsāku par 10 darbdienām pēc pieprasījuma izsniegšanas vai nosūtīšanas dienas. Ja attiecīgais pretendents noteiktajā termiņā neiesniedz minēto izziņu, pasūtītājs to izslēdz </w:t>
            </w:r>
            <w:r w:rsidRPr="00250CC4">
              <w:rPr>
                <w:rFonts w:eastAsia="Times New Roman"/>
                <w:color w:val="414142"/>
              </w:rPr>
              <w:lastRenderedPageBreak/>
              <w:t>no dalības iepirkumā.</w:t>
            </w:r>
          </w:p>
          <w:p w:rsidR="00C01B37" w:rsidRPr="00250CC4" w:rsidRDefault="00DC6C50" w:rsidP="00DC6C50">
            <w:pPr>
              <w:spacing w:before="120"/>
              <w:jc w:val="both"/>
              <w:rPr>
                <w:rFonts w:eastAsia="Times New Roman"/>
                <w:color w:val="414142"/>
              </w:rPr>
            </w:pPr>
            <w:r w:rsidRPr="00250CC4">
              <w:rPr>
                <w:rFonts w:eastAsia="Times New Roman"/>
                <w:color w:val="414142"/>
              </w:rPr>
              <w:t xml:space="preserve">2.4. </w:t>
            </w:r>
            <w:r w:rsidR="00C01B37" w:rsidRPr="00250CC4">
              <w:rPr>
                <w:rFonts w:eastAsia="Times New Roman"/>
                <w:color w:val="414142"/>
              </w:rPr>
              <w:t xml:space="preserve">Ja pasūtītājs konstatē, ka </w:t>
            </w:r>
            <w:r w:rsidR="00C01B37" w:rsidRPr="00250CC4">
              <w:t>pretendentam Latvijā vai valstī, kurā tas ir reģistrēts vai pastāvīgi dzīvo,  ir nodokļu parādi, tajā skaitā valsts sociālās apdrošināšanas obligāto iemaksu parādi, kas kopsummā pārsniedz 150 eiro,</w:t>
            </w:r>
            <w:r w:rsidR="00C01B37" w:rsidRPr="00250CC4">
              <w:rPr>
                <w:rFonts w:eastAsia="Times New Roman"/>
                <w:color w:val="414142"/>
              </w:rPr>
              <w:t xml:space="preserve"> pasūtītājs rīkojas atbilstoši PIL </w:t>
            </w:r>
            <w:r w:rsidR="00C01B37" w:rsidRPr="00250CC4">
              <w:rPr>
                <w:lang w:val="en-GB"/>
              </w:rPr>
              <w:t>8</w:t>
            </w:r>
            <w:r w:rsidR="00C01B37" w:rsidRPr="00250CC4">
              <w:rPr>
                <w:vertAlign w:val="superscript"/>
                <w:lang w:val="en-GB"/>
              </w:rPr>
              <w:t>2</w:t>
            </w:r>
            <w:r w:rsidR="00C01B37" w:rsidRPr="00250CC4">
              <w:rPr>
                <w:lang w:val="en-GB"/>
              </w:rPr>
              <w:t xml:space="preserve"> </w:t>
            </w:r>
            <w:proofErr w:type="spellStart"/>
            <w:r w:rsidR="00C01B37" w:rsidRPr="00250CC4">
              <w:rPr>
                <w:lang w:val="en-GB"/>
              </w:rPr>
              <w:t>panta</w:t>
            </w:r>
            <w:proofErr w:type="spellEnd"/>
            <w:r w:rsidR="00C01B37" w:rsidRPr="00250CC4">
              <w:rPr>
                <w:lang w:val="en-GB"/>
              </w:rPr>
              <w:t xml:space="preserve"> </w:t>
            </w:r>
            <w:proofErr w:type="spellStart"/>
            <w:r w:rsidR="00C01B37" w:rsidRPr="00250CC4">
              <w:rPr>
                <w:lang w:val="en-GB"/>
              </w:rPr>
              <w:t>astotās</w:t>
            </w:r>
            <w:proofErr w:type="spellEnd"/>
            <w:r w:rsidR="00C01B37" w:rsidRPr="00250CC4">
              <w:rPr>
                <w:lang w:val="en-GB"/>
              </w:rPr>
              <w:t xml:space="preserve"> </w:t>
            </w:r>
            <w:proofErr w:type="spellStart"/>
            <w:r w:rsidR="00C01B37" w:rsidRPr="00250CC4">
              <w:rPr>
                <w:lang w:val="en-GB"/>
              </w:rPr>
              <w:t>daļas</w:t>
            </w:r>
            <w:proofErr w:type="spellEnd"/>
            <w:r w:rsidR="00C01B37" w:rsidRPr="00250CC4">
              <w:rPr>
                <w:lang w:val="en-GB"/>
              </w:rPr>
              <w:t xml:space="preserve"> 2.punktam.</w:t>
            </w:r>
          </w:p>
          <w:p w:rsidR="00DC6C50" w:rsidRPr="00250CC4" w:rsidRDefault="00DC6C50" w:rsidP="00DC6C50">
            <w:pPr>
              <w:spacing w:before="120"/>
              <w:jc w:val="both"/>
              <w:rPr>
                <w:rFonts w:eastAsia="Times New Roman"/>
                <w:color w:val="414142"/>
              </w:rPr>
            </w:pPr>
            <w:r w:rsidRPr="00250CC4">
              <w:rPr>
                <w:rFonts w:eastAsia="Times New Roman"/>
                <w:color w:val="414142"/>
              </w:rPr>
              <w:t>2.5. Pēc piedāvājumu iesniegšanas termiņa beigām iepirkuma komisija izvērtē iesniegtos piedāvājumus un izvēlas vienu vai vairākus piedāvājumus. Iepirkuma komisija par uzvarētāju iepirkumā atzīst pretendentu, kurš izraudzīts atbilstoši noteiktajām prasībām un kritērijiem un nav izslēdzams no dalības iepirkumā saskaņā ar punktu 2.2. Lēmumā, ar kuru tiek noteikts uzvarētājs, papildus norāda visus noraidītos pretendentus un to noraidīšanas iemeslus, visu pretendentu piedāvātās līgumcenas un par uzvarētāju noteiktā pretendenta salīdzinošās priekšrocības.</w:t>
            </w:r>
          </w:p>
          <w:p w:rsidR="00DC6C50" w:rsidRPr="00250CC4" w:rsidRDefault="00DC6C50" w:rsidP="00DC6C50">
            <w:pPr>
              <w:spacing w:before="120"/>
              <w:jc w:val="both"/>
              <w:rPr>
                <w:rFonts w:eastAsia="Times New Roman"/>
                <w:color w:val="414142"/>
              </w:rPr>
            </w:pPr>
            <w:r w:rsidRPr="00250CC4">
              <w:rPr>
                <w:rFonts w:eastAsia="Times New Roman"/>
                <w:color w:val="414142"/>
              </w:rPr>
              <w:t>2.6. Triju darbdienu laikā pēc lēmuma pieņemšanas pasūtītājs informē visus pretendentus par iepirkumā izraudzīto pretendentu, kā arī savā mājaslapā internetā nodrošina brīvu un tiešu elektronisku pieeju punktā 2.5. minētajam lēmumam. Pasūtītājs triju darbdienu laikā pēc pretendenta pieprasījuma saņemšanas izsniedz vai nosūta pretendentam punktā 2.5. minēto lēmumu.</w:t>
            </w:r>
          </w:p>
          <w:p w:rsidR="00DC6C50" w:rsidRPr="00250CC4" w:rsidRDefault="00DC6C50" w:rsidP="00DC6C50">
            <w:pPr>
              <w:spacing w:before="120"/>
              <w:jc w:val="both"/>
              <w:rPr>
                <w:rFonts w:eastAsia="Times New Roman"/>
                <w:color w:val="414142"/>
              </w:rPr>
            </w:pPr>
            <w:r w:rsidRPr="00250CC4">
              <w:rPr>
                <w:rFonts w:eastAsia="Times New Roman"/>
                <w:color w:val="414142"/>
              </w:rPr>
              <w:t>2.7. Pasūtītājs slēdz iepirkuma līgumu ar iepirkuma komisijas izraudzīto pretendentu. Pasūtītājs ir tiesīgs pārtraukt iepirkumu un neslēgt līgumu, ja tam ir objektīvs pamatojums.</w:t>
            </w:r>
          </w:p>
          <w:p w:rsidR="00DC6C50" w:rsidRPr="00250CC4" w:rsidRDefault="00DC6C50" w:rsidP="00DC6C50">
            <w:pPr>
              <w:spacing w:before="120"/>
              <w:jc w:val="both"/>
              <w:rPr>
                <w:rFonts w:eastAsia="Times New Roman"/>
                <w:color w:val="414142"/>
              </w:rPr>
            </w:pPr>
            <w:r w:rsidRPr="00250CC4">
              <w:rPr>
                <w:rFonts w:eastAsia="Times New Roman"/>
                <w:color w:val="414142"/>
              </w:rPr>
              <w:t>2.8. Ne vēlāk kā piecas darbdienas pēc tam, kad noslēgts līgums, pasūtītājs, izmantojot Iepirkumu uzraudzības biroja mājaslapā internetā pieejamos elektroniskos līdzekļus minēto paziņojumu sagatavošanai un iesniegšanai, publicē Iepirkumu uzraudzības biroja mājaslapā internetā informatīvu paziņojumu par noslēgto līgumu.</w:t>
            </w:r>
          </w:p>
          <w:p w:rsidR="00DC6C50" w:rsidRPr="00250CC4" w:rsidRDefault="00DC6C50" w:rsidP="00DC6C50">
            <w:pPr>
              <w:spacing w:before="120"/>
              <w:jc w:val="both"/>
              <w:rPr>
                <w:rFonts w:eastAsia="Times New Roman"/>
                <w:color w:val="414142"/>
              </w:rPr>
            </w:pPr>
            <w:r w:rsidRPr="00250CC4">
              <w:rPr>
                <w:rFonts w:eastAsia="Times New Roman"/>
                <w:color w:val="414142"/>
              </w:rPr>
              <w:t xml:space="preserve">2.9. Ne vēlāk kā dienā, kad stājas spēkā iepirkuma līgums vai tā grozījumi, pasūtītājs </w:t>
            </w:r>
            <w:r w:rsidRPr="00250CC4">
              <w:rPr>
                <w:rFonts w:eastAsia="Times New Roman"/>
                <w:color w:val="414142"/>
              </w:rPr>
              <w:lastRenderedPageBreak/>
              <w:t>savā mājaslapā internetā ievieto attiecīgi iepirkuma līguma vai tā grozījumu tekstu, atbilstoši normatīvajos aktos noteiktajai kārtībai ievērojot komercnoslēpuma aizsardzības prasības. Iepirkuma līguma un tā grozījumu teksts ir pieejams pasūtītāja mājaslapā internetā vismaz visā iepirkuma līguma darbības laikā, bet ne mazāk kā 36 mēnešus pēc līguma spēkā stāšanās dienas.</w:t>
            </w:r>
          </w:p>
          <w:p w:rsidR="00DC6C50" w:rsidRPr="00250CC4" w:rsidRDefault="00DC6C50" w:rsidP="00DC6C50">
            <w:pPr>
              <w:spacing w:before="120"/>
              <w:jc w:val="both"/>
            </w:pPr>
            <w:r w:rsidRPr="00250CC4">
              <w:rPr>
                <w:rFonts w:eastAsia="Times New Roman"/>
                <w:color w:val="414142"/>
              </w:rPr>
              <w:t xml:space="preserve">2.10. Grozījumus iepirkuma līgumā, kas noslēdzams šajā pantā noteiktajā kārtībā, izdara, ievērojot Publisko iepirkumu likuma </w:t>
            </w:r>
            <w:hyperlink r:id="rId14" w:anchor="p67.1#p67.1" w:history="1">
              <w:r w:rsidRPr="00250CC4">
                <w:rPr>
                  <w:rStyle w:val="Hyperlink"/>
                  <w:rFonts w:eastAsia="Times New Roman"/>
                  <w:color w:val="16497B"/>
                </w:rPr>
                <w:t>67.</w:t>
              </w:r>
              <w:r w:rsidRPr="00250CC4">
                <w:rPr>
                  <w:rStyle w:val="Hyperlink"/>
                  <w:rFonts w:eastAsia="Times New Roman"/>
                  <w:color w:val="16497B"/>
                  <w:vertAlign w:val="superscript"/>
                </w:rPr>
                <w:t>1</w:t>
              </w:r>
            </w:hyperlink>
            <w:r w:rsidRPr="00250CC4">
              <w:rPr>
                <w:rFonts w:eastAsia="Times New Roman"/>
                <w:color w:val="414142"/>
              </w:rPr>
              <w:t xml:space="preserve"> panta noteikumus.</w:t>
            </w:r>
          </w:p>
          <w:p w:rsidR="00DC6C50" w:rsidRPr="00250CC4" w:rsidRDefault="00DC6C50" w:rsidP="00EF486E">
            <w:pPr>
              <w:spacing w:before="120"/>
              <w:jc w:val="both"/>
              <w:rPr>
                <w:b/>
                <w:bCs/>
              </w:rPr>
            </w:pPr>
          </w:p>
        </w:tc>
        <w:tc>
          <w:tcPr>
            <w:tcW w:w="5245" w:type="dxa"/>
          </w:tcPr>
          <w:p w:rsidR="00DC6C50" w:rsidRPr="00250CC4" w:rsidRDefault="00DC6C50" w:rsidP="002A6C3B">
            <w:pPr>
              <w:spacing w:before="120"/>
              <w:rPr>
                <w:b/>
                <w:bCs/>
                <w:lang w:val="en-GB"/>
              </w:rPr>
            </w:pPr>
            <w:r w:rsidRPr="00250CC4">
              <w:rPr>
                <w:b/>
                <w:bCs/>
                <w:lang w:val="en-GB"/>
              </w:rPr>
              <w:lastRenderedPageBreak/>
              <w:t>SUBMITTING AND</w:t>
            </w:r>
            <w:r w:rsidRPr="00250CC4">
              <w:rPr>
                <w:b/>
                <w:lang w:val="en-GB"/>
              </w:rPr>
              <w:t xml:space="preserve"> EVALUATION OF THE OFFERS</w:t>
            </w:r>
          </w:p>
          <w:p w:rsidR="00DC6C50" w:rsidRPr="00250CC4" w:rsidRDefault="00DC6C50" w:rsidP="002A6C3B">
            <w:pPr>
              <w:spacing w:before="120"/>
              <w:rPr>
                <w:b/>
                <w:bCs/>
                <w:lang w:val="en-GB"/>
              </w:rPr>
            </w:pPr>
            <w:r w:rsidRPr="00250CC4">
              <w:rPr>
                <w:b/>
                <w:bCs/>
                <w:lang w:val="en-GB"/>
              </w:rPr>
              <w:t>1. Submitting the Offer:</w:t>
            </w:r>
          </w:p>
          <w:p w:rsidR="00DC6C50" w:rsidRPr="00250CC4" w:rsidRDefault="00DC6C50" w:rsidP="002A6C3B">
            <w:pPr>
              <w:spacing w:before="120"/>
              <w:jc w:val="both"/>
              <w:rPr>
                <w:color w:val="000000"/>
                <w:lang w:val="en-GB"/>
              </w:rPr>
            </w:pPr>
            <w:r w:rsidRPr="00250CC4">
              <w:rPr>
                <w:color w:val="000000"/>
                <w:lang w:val="en-GB"/>
              </w:rPr>
              <w:t xml:space="preserve">1.1. The Applicant shall submit one Offer. The Applicant shall submit the Offer for a whole amount. </w:t>
            </w:r>
          </w:p>
          <w:p w:rsidR="00DC6C50" w:rsidRPr="00250CC4" w:rsidRDefault="00DC6C50" w:rsidP="002A6C3B">
            <w:pPr>
              <w:spacing w:before="120"/>
              <w:jc w:val="both"/>
              <w:rPr>
                <w:color w:val="000000"/>
                <w:lang w:val="en-GB"/>
              </w:rPr>
            </w:pPr>
            <w:r w:rsidRPr="00250CC4">
              <w:rPr>
                <w:color w:val="000000"/>
                <w:lang w:val="en-GB"/>
              </w:rPr>
              <w:t>1.2. The Offer documentation shall contain:  The</w:t>
            </w:r>
            <w:r w:rsidRPr="00250CC4">
              <w:rPr>
                <w:lang w:val="en-GB"/>
              </w:rPr>
              <w:t xml:space="preserve"> </w:t>
            </w:r>
            <w:r w:rsidRPr="00250CC4">
              <w:rPr>
                <w:color w:val="000000"/>
                <w:lang w:val="en-GB"/>
              </w:rPr>
              <w:t>Application for participation –</w:t>
            </w:r>
            <w:r w:rsidRPr="00250CC4">
              <w:rPr>
                <w:lang w:val="en-GB"/>
              </w:rPr>
              <w:t xml:space="preserve">Technical </w:t>
            </w:r>
            <w:r w:rsidRPr="00250CC4">
              <w:rPr>
                <w:color w:val="000000"/>
                <w:lang w:val="en-GB"/>
              </w:rPr>
              <w:t xml:space="preserve">– </w:t>
            </w:r>
            <w:r w:rsidRPr="00250CC4">
              <w:rPr>
                <w:lang w:val="en-GB"/>
              </w:rPr>
              <w:t xml:space="preserve">Financial offer (to </w:t>
            </w:r>
            <w:r w:rsidRPr="00250CC4">
              <w:rPr>
                <w:color w:val="000000"/>
                <w:lang w:val="en-GB"/>
              </w:rPr>
              <w:t xml:space="preserve">be filled in on the form enclosed as Annex </w:t>
            </w:r>
            <w:r w:rsidRPr="00250CC4">
              <w:rPr>
                <w:lang w:val="en-GB"/>
              </w:rPr>
              <w:t xml:space="preserve">2 </w:t>
            </w:r>
            <w:r w:rsidRPr="00250CC4">
              <w:rPr>
                <w:color w:val="000000"/>
                <w:lang w:val="en-GB"/>
              </w:rPr>
              <w:t>to the present Invitation).</w:t>
            </w:r>
            <w:r w:rsidR="00976F79" w:rsidRPr="00250CC4">
              <w:rPr>
                <w:color w:val="000000"/>
                <w:lang w:val="en-GB"/>
              </w:rPr>
              <w:t xml:space="preserve"> </w:t>
            </w:r>
            <w:r w:rsidR="00976F79" w:rsidRPr="00250CC4">
              <w:rPr>
                <w:color w:val="000000"/>
                <w:u w:val="single"/>
                <w:lang w:val="en-GB"/>
              </w:rPr>
              <w:t>The Offer may be submitted as well as a detailed invoice</w:t>
            </w:r>
            <w:r w:rsidR="00282143" w:rsidRPr="00250CC4">
              <w:rPr>
                <w:color w:val="000000"/>
                <w:u w:val="single"/>
                <w:lang w:val="en-GB"/>
              </w:rPr>
              <w:t xml:space="preserve"> or offer quotation / pro-forma</w:t>
            </w:r>
            <w:r w:rsidR="00976F79" w:rsidRPr="00250CC4">
              <w:rPr>
                <w:color w:val="000000"/>
                <w:lang w:val="en-GB"/>
              </w:rPr>
              <w:t>.</w:t>
            </w:r>
          </w:p>
          <w:p w:rsidR="00DC6C50" w:rsidRPr="00250CC4" w:rsidRDefault="00DC6C50" w:rsidP="002A6C3B">
            <w:pPr>
              <w:spacing w:before="120"/>
              <w:jc w:val="both"/>
              <w:rPr>
                <w:color w:val="000000"/>
                <w:lang w:val="en-GB"/>
              </w:rPr>
            </w:pPr>
            <w:r w:rsidRPr="00250CC4">
              <w:rPr>
                <w:color w:val="000000"/>
                <w:lang w:val="en-GB"/>
              </w:rPr>
              <w:t xml:space="preserve">1.3. The Offer shall be submitted to the Secretariat of the ISSP, Room 204, 2nd floor, </w:t>
            </w:r>
            <w:proofErr w:type="spellStart"/>
            <w:r w:rsidRPr="00250CC4">
              <w:rPr>
                <w:color w:val="000000"/>
                <w:lang w:val="en-GB"/>
              </w:rPr>
              <w:t>Kengaraga</w:t>
            </w:r>
            <w:proofErr w:type="spellEnd"/>
            <w:r w:rsidRPr="00250CC4">
              <w:rPr>
                <w:color w:val="000000"/>
                <w:lang w:val="en-GB"/>
              </w:rPr>
              <w:t xml:space="preserve"> street 8, Riga, </w:t>
            </w:r>
            <w:proofErr w:type="gramStart"/>
            <w:r w:rsidRPr="00250CC4">
              <w:rPr>
                <w:color w:val="000000"/>
                <w:lang w:val="en-GB"/>
              </w:rPr>
              <w:t>LV</w:t>
            </w:r>
            <w:proofErr w:type="gramEnd"/>
            <w:r w:rsidRPr="00250CC4">
              <w:rPr>
                <w:color w:val="000000"/>
                <w:lang w:val="en-GB"/>
              </w:rPr>
              <w:t xml:space="preserve">-1063. The Offer shall be submitted on business days from 8:30 to 17:00. The Offer may be sent in a registered letter, by courier service or delivered in person. The Offer </w:t>
            </w:r>
            <w:r w:rsidRPr="00250CC4">
              <w:rPr>
                <w:color w:val="000000"/>
                <w:u w:val="single"/>
                <w:lang w:val="en-GB"/>
              </w:rPr>
              <w:t xml:space="preserve">may be submitted </w:t>
            </w:r>
            <w:r w:rsidR="00F232E5" w:rsidRPr="00250CC4">
              <w:rPr>
                <w:color w:val="000000"/>
                <w:u w:val="single"/>
                <w:lang w:val="en-GB"/>
              </w:rPr>
              <w:t xml:space="preserve">as well </w:t>
            </w:r>
            <w:r w:rsidRPr="00250CC4">
              <w:rPr>
                <w:color w:val="000000"/>
                <w:u w:val="single"/>
                <w:lang w:val="en-GB"/>
              </w:rPr>
              <w:t>by e-mail or Fax</w:t>
            </w:r>
            <w:r w:rsidRPr="00250CC4">
              <w:rPr>
                <w:color w:val="000000"/>
                <w:lang w:val="en-GB"/>
              </w:rPr>
              <w:t>. In such a case the original shall be submitted later.</w:t>
            </w:r>
          </w:p>
          <w:p w:rsidR="00DC6C50" w:rsidRPr="00250CC4" w:rsidRDefault="00DC6C50" w:rsidP="002A6C3B">
            <w:pPr>
              <w:spacing w:before="120"/>
              <w:rPr>
                <w:b/>
                <w:bCs/>
                <w:lang w:val="en-GB"/>
              </w:rPr>
            </w:pPr>
            <w:r w:rsidRPr="00250CC4">
              <w:rPr>
                <w:b/>
                <w:lang w:val="en-GB"/>
              </w:rPr>
              <w:t>2. Evaluation of the Offers and entering into the Contract</w:t>
            </w:r>
            <w:r w:rsidRPr="00250CC4">
              <w:rPr>
                <w:b/>
                <w:bCs/>
                <w:lang w:val="en-GB"/>
              </w:rPr>
              <w:t>:</w:t>
            </w:r>
          </w:p>
          <w:p w:rsidR="00DC6C50" w:rsidRPr="00250CC4" w:rsidRDefault="00DC6C50" w:rsidP="002A6C3B">
            <w:pPr>
              <w:spacing w:before="120"/>
              <w:rPr>
                <w:bCs/>
                <w:color w:val="000000"/>
                <w:lang w:val="en-GB"/>
              </w:rPr>
            </w:pPr>
            <w:r w:rsidRPr="00250CC4">
              <w:rPr>
                <w:color w:val="000000"/>
                <w:lang w:val="en-GB"/>
              </w:rPr>
              <w:t xml:space="preserve">2.1. The submitted Offers that conform to the requested technical specification (Annex 2) shall be evaluated according to the sole criterion – </w:t>
            </w:r>
            <w:r w:rsidRPr="00250CC4">
              <w:rPr>
                <w:bCs/>
                <w:color w:val="000000"/>
                <w:lang w:val="en-GB"/>
              </w:rPr>
              <w:t>the lowest price.</w:t>
            </w:r>
          </w:p>
          <w:p w:rsidR="00DC6C50" w:rsidRPr="00250CC4" w:rsidRDefault="00DC6C50" w:rsidP="002A6C3B">
            <w:pPr>
              <w:spacing w:before="120"/>
              <w:rPr>
                <w:color w:val="000000"/>
                <w:lang w:val="en-GB"/>
              </w:rPr>
            </w:pPr>
            <w:r w:rsidRPr="00250CC4">
              <w:rPr>
                <w:color w:val="000000"/>
                <w:lang w:val="en-GB"/>
              </w:rPr>
              <w:t>2.2. The Contracting Authority shall take a decision to exclude the Applicant from participation in the procurement procedure, if the conditions referred to in Section 8</w:t>
            </w:r>
            <w:r w:rsidRPr="00250CC4">
              <w:rPr>
                <w:color w:val="000000"/>
                <w:vertAlign w:val="superscript"/>
                <w:lang w:val="en-GB"/>
              </w:rPr>
              <w:t>2</w:t>
            </w:r>
            <w:r w:rsidRPr="00250CC4">
              <w:rPr>
                <w:color w:val="000000"/>
                <w:lang w:val="en-GB"/>
              </w:rPr>
              <w:t xml:space="preserve"> Paragraph Five Clause 1 or Clause 2 of the Public Procurement Law (PPL) (Items 2.2.1. or 2.2.2. herein) apply to the Applicant:</w:t>
            </w:r>
          </w:p>
          <w:p w:rsidR="00DC6C50" w:rsidRPr="00250CC4" w:rsidRDefault="00DC6C50" w:rsidP="002A6C3B">
            <w:pPr>
              <w:spacing w:before="120"/>
              <w:rPr>
                <w:color w:val="000000"/>
                <w:lang w:val="en-GB"/>
              </w:rPr>
            </w:pPr>
            <w:r w:rsidRPr="00250CC4">
              <w:rPr>
                <w:color w:val="000000"/>
                <w:lang w:val="en-GB"/>
              </w:rPr>
              <w:t xml:space="preserve">2.2.1. </w:t>
            </w:r>
            <w:r w:rsidRPr="00250CC4">
              <w:rPr>
                <w:lang w:val="en-GB"/>
              </w:rPr>
              <w:t xml:space="preserve">insolvency proceedings </w:t>
            </w:r>
            <w:r w:rsidRPr="00250CC4">
              <w:rPr>
                <w:rFonts w:eastAsia="Times New Roman"/>
                <w:lang w:val="en-GB"/>
              </w:rPr>
              <w:t xml:space="preserve">of the </w:t>
            </w:r>
            <w:r w:rsidRPr="00250CC4">
              <w:rPr>
                <w:rFonts w:eastAsia="Times New Roman"/>
                <w:color w:val="000000"/>
                <w:lang w:val="en-GB"/>
              </w:rPr>
              <w:t>Applicant</w:t>
            </w:r>
            <w:r w:rsidRPr="00250CC4">
              <w:rPr>
                <w:rFonts w:eastAsia="Times New Roman"/>
                <w:lang w:val="en-GB"/>
              </w:rPr>
              <w:t xml:space="preserve"> </w:t>
            </w:r>
            <w:r w:rsidRPr="00250CC4">
              <w:rPr>
                <w:lang w:val="en-GB"/>
              </w:rPr>
              <w:t xml:space="preserve">have been announced (except the case where a bailout or similar set of measures is applied within insolvency proceedings oriented towards prevention of possible bankruptcy and restoration of solvency of the debtor), economic activity </w:t>
            </w:r>
            <w:r w:rsidRPr="00250CC4">
              <w:rPr>
                <w:rFonts w:eastAsia="Times New Roman"/>
                <w:lang w:val="en-GB"/>
              </w:rPr>
              <w:t xml:space="preserve">of the </w:t>
            </w:r>
            <w:r w:rsidRPr="00250CC4">
              <w:rPr>
                <w:rFonts w:eastAsia="Times New Roman"/>
                <w:color w:val="000000"/>
                <w:lang w:val="en-GB"/>
              </w:rPr>
              <w:t>Applicant</w:t>
            </w:r>
            <w:r w:rsidRPr="00250CC4">
              <w:rPr>
                <w:rFonts w:eastAsia="Times New Roman"/>
                <w:lang w:val="en-GB"/>
              </w:rPr>
              <w:t xml:space="preserve"> </w:t>
            </w:r>
            <w:r w:rsidRPr="00250CC4">
              <w:rPr>
                <w:lang w:val="en-GB"/>
              </w:rPr>
              <w:t xml:space="preserve">has been suspended or discontinued, proceedings regarding bankruptcy </w:t>
            </w:r>
            <w:r w:rsidRPr="00250CC4">
              <w:rPr>
                <w:rFonts w:eastAsia="Times New Roman"/>
                <w:lang w:val="en-GB"/>
              </w:rPr>
              <w:t xml:space="preserve">of the </w:t>
            </w:r>
            <w:r w:rsidRPr="00250CC4">
              <w:rPr>
                <w:rFonts w:eastAsia="Times New Roman"/>
                <w:color w:val="000000"/>
                <w:lang w:val="en-GB"/>
              </w:rPr>
              <w:t>Applicant</w:t>
            </w:r>
            <w:r w:rsidRPr="00250CC4">
              <w:rPr>
                <w:rFonts w:eastAsia="Times New Roman"/>
                <w:lang w:val="en-GB"/>
              </w:rPr>
              <w:t xml:space="preserve"> </w:t>
            </w:r>
            <w:r w:rsidRPr="00250CC4">
              <w:rPr>
                <w:lang w:val="en-GB"/>
              </w:rPr>
              <w:t xml:space="preserve">have been </w:t>
            </w:r>
            <w:r w:rsidRPr="00250CC4">
              <w:rPr>
                <w:lang w:val="en-GB"/>
              </w:rPr>
              <w:lastRenderedPageBreak/>
              <w:t>initiated or it is being liquidated;</w:t>
            </w:r>
          </w:p>
          <w:p w:rsidR="00DC6C50" w:rsidRPr="00250CC4" w:rsidRDefault="00DC6C50" w:rsidP="002A6C3B">
            <w:pPr>
              <w:spacing w:before="120"/>
              <w:rPr>
                <w:rFonts w:eastAsia="Times New Roman"/>
                <w:lang w:val="en-GB"/>
              </w:rPr>
            </w:pPr>
            <w:r w:rsidRPr="00250CC4">
              <w:rPr>
                <w:color w:val="000000"/>
                <w:lang w:val="en-GB"/>
              </w:rPr>
              <w:t xml:space="preserve">2.2.2. Applicant on the day on which the notification of planned contract was published in the Procurement Monitoring Bureau's website, or on the day when the decision on the possible award of contract is made by the Commission, </w:t>
            </w:r>
            <w:r w:rsidRPr="00250CC4">
              <w:rPr>
                <w:lang w:val="en-GB"/>
              </w:rPr>
              <w:t xml:space="preserve">has tax debts in Latvia or in a country where it is registered or permanently residing, including debts of State social insurance contributions, in total exceeding 150 EUR in </w:t>
            </w:r>
            <w:r w:rsidRPr="00250CC4">
              <w:rPr>
                <w:rFonts w:eastAsia="Times New Roman"/>
                <w:lang w:val="en-GB"/>
              </w:rPr>
              <w:t>one of the countries;</w:t>
            </w:r>
          </w:p>
          <w:p w:rsidR="00DC6C50" w:rsidRPr="00250CC4" w:rsidRDefault="00DC6C50" w:rsidP="002A6C3B">
            <w:pPr>
              <w:spacing w:before="120"/>
              <w:rPr>
                <w:rFonts w:eastAsia="Times New Roman"/>
                <w:lang w:val="en-GB"/>
              </w:rPr>
            </w:pPr>
            <w:r w:rsidRPr="00250CC4">
              <w:rPr>
                <w:rFonts w:eastAsia="Times New Roman"/>
                <w:lang w:val="en-GB"/>
              </w:rPr>
              <w:t xml:space="preserve">2.2.3. The conditions referred to in Items 2.2.1 and 2.2.2.are applicable to the person indicated by </w:t>
            </w:r>
            <w:r w:rsidRPr="00250CC4">
              <w:rPr>
                <w:color w:val="000000"/>
                <w:lang w:val="en-GB"/>
              </w:rPr>
              <w:t>Applicant</w:t>
            </w:r>
            <w:r w:rsidRPr="00250CC4">
              <w:rPr>
                <w:rFonts w:eastAsia="Times New Roman"/>
                <w:lang w:val="en-GB"/>
              </w:rPr>
              <w:t xml:space="preserve">, on whose abilities the </w:t>
            </w:r>
            <w:r w:rsidRPr="00250CC4">
              <w:rPr>
                <w:color w:val="000000"/>
                <w:lang w:val="en-GB"/>
              </w:rPr>
              <w:t xml:space="preserve">Applicant </w:t>
            </w:r>
            <w:r w:rsidRPr="00250CC4">
              <w:rPr>
                <w:rFonts w:eastAsia="Times New Roman"/>
                <w:lang w:val="en-GB"/>
              </w:rPr>
              <w:t>is relying on in order to confirm that the qualification thereof conforms to the requirements specified in the procurement procedure documents as well as to the members of the partnership, if the Applicant is a partnership.</w:t>
            </w:r>
          </w:p>
          <w:p w:rsidR="00DC6C50" w:rsidRPr="00250CC4" w:rsidRDefault="00DC6C50" w:rsidP="002A6C3B">
            <w:pPr>
              <w:pStyle w:val="NormalWeb"/>
              <w:spacing w:before="120" w:beforeAutospacing="0" w:after="0" w:afterAutospacing="0"/>
              <w:jc w:val="both"/>
              <w:rPr>
                <w:lang w:val="en-GB"/>
              </w:rPr>
            </w:pPr>
            <w:r w:rsidRPr="00250CC4">
              <w:rPr>
                <w:lang w:val="en-GB"/>
              </w:rPr>
              <w:t>2.3. Prior to the passing of the decision regarding the tender results, in order to assess the Applicant according to Section 8</w:t>
            </w:r>
            <w:r w:rsidRPr="00250CC4">
              <w:rPr>
                <w:vertAlign w:val="superscript"/>
                <w:lang w:val="en-GB"/>
              </w:rPr>
              <w:t xml:space="preserve">2 </w:t>
            </w:r>
            <w:r w:rsidRPr="00250CC4">
              <w:rPr>
                <w:lang w:val="en-GB"/>
              </w:rPr>
              <w:t>Paragraph Five of the Public Procurement Law the Commission shall act as provided for by Section 8</w:t>
            </w:r>
            <w:r w:rsidRPr="00250CC4">
              <w:rPr>
                <w:vertAlign w:val="superscript"/>
                <w:lang w:val="en-GB"/>
              </w:rPr>
              <w:t>2</w:t>
            </w:r>
            <w:r w:rsidRPr="00250CC4">
              <w:rPr>
                <w:lang w:val="en-GB"/>
              </w:rPr>
              <w:t xml:space="preserve"> Paragraph Seven Clauses 1 and 2 of the PPL: </w:t>
            </w:r>
          </w:p>
          <w:p w:rsidR="002A6C3B" w:rsidRPr="00250CC4" w:rsidRDefault="00DC6C50" w:rsidP="002A6C3B">
            <w:pPr>
              <w:pStyle w:val="NormalWeb"/>
              <w:spacing w:before="120" w:beforeAutospacing="0" w:after="0" w:afterAutospacing="0"/>
              <w:jc w:val="both"/>
              <w:rPr>
                <w:lang w:val="en-GB"/>
              </w:rPr>
            </w:pPr>
            <w:r w:rsidRPr="00250CC4">
              <w:rPr>
                <w:lang w:val="en-GB"/>
              </w:rPr>
              <w:t xml:space="preserve">2.3.1. with regard to the Applicant (regardless of the country of registration or permanent residence) through the information system and by  procedure, which are determined by the Cabinet of Ministers, obtain information: a) on the facts referred to in paragraph 2.2.1. - </w:t>
            </w:r>
            <w:proofErr w:type="gramStart"/>
            <w:r w:rsidRPr="00250CC4">
              <w:rPr>
                <w:lang w:val="en-GB"/>
              </w:rPr>
              <w:t>from</w:t>
            </w:r>
            <w:proofErr w:type="gramEnd"/>
            <w:r w:rsidRPr="00250CC4">
              <w:rPr>
                <w:lang w:val="en-GB"/>
              </w:rPr>
              <w:t xml:space="preserve"> the Register of Enterprises, b) on the facts referred to in paragraph 2.2.2. - </w:t>
            </w:r>
            <w:proofErr w:type="gramStart"/>
            <w:r w:rsidRPr="00250CC4">
              <w:rPr>
                <w:lang w:val="en-GB"/>
              </w:rPr>
              <w:t>from</w:t>
            </w:r>
            <w:proofErr w:type="gramEnd"/>
            <w:r w:rsidRPr="00250CC4">
              <w:rPr>
                <w:lang w:val="en-GB"/>
              </w:rPr>
              <w:t xml:space="preserve"> the State Revenue Service and the Latvian municipalities. Commission such information from the State Revenue Service and the Latvian municipalities is entitled to get without the consent of the Applicant;</w:t>
            </w:r>
          </w:p>
          <w:p w:rsidR="00DC6C50" w:rsidRPr="00250CC4" w:rsidRDefault="00DC6C50" w:rsidP="002A6C3B">
            <w:pPr>
              <w:pStyle w:val="NormalWeb"/>
              <w:spacing w:before="120" w:beforeAutospacing="0" w:after="0" w:afterAutospacing="0"/>
              <w:jc w:val="both"/>
              <w:rPr>
                <w:lang w:val="en-GB"/>
              </w:rPr>
            </w:pPr>
            <w:r w:rsidRPr="00250CC4">
              <w:rPr>
                <w:lang w:val="en-GB"/>
              </w:rPr>
              <w:t xml:space="preserve">2.3.2. as regards the foreign registered or permanently residing Applicant,  the Commission requires him to submit the certificate issued by the competent authority of the relevant foreign country`s attesting that it is not subject to facts referred to in Items 2.2.1 or 2.2.2. </w:t>
            </w:r>
            <w:proofErr w:type="gramStart"/>
            <w:r w:rsidRPr="00250CC4">
              <w:rPr>
                <w:lang w:val="en-GB"/>
              </w:rPr>
              <w:t>herein</w:t>
            </w:r>
            <w:proofErr w:type="gramEnd"/>
            <w:r w:rsidRPr="00250CC4">
              <w:rPr>
                <w:lang w:val="en-GB"/>
              </w:rPr>
              <w:t>. Deadline for submission of the certificate shall be determined not less than 10 working days after the date of issue or dispatch of the request.</w:t>
            </w:r>
            <w:r w:rsidR="00976F79" w:rsidRPr="00250CC4">
              <w:rPr>
                <w:lang w:val="en-GB"/>
              </w:rPr>
              <w:t xml:space="preserve"> If the Applicant within the prescribed period </w:t>
            </w:r>
            <w:r w:rsidR="00C01B37" w:rsidRPr="00250CC4">
              <w:rPr>
                <w:lang w:val="en-GB"/>
              </w:rPr>
              <w:t xml:space="preserve">does not </w:t>
            </w:r>
            <w:r w:rsidR="00976F79" w:rsidRPr="00250CC4">
              <w:rPr>
                <w:lang w:val="en-GB"/>
              </w:rPr>
              <w:t xml:space="preserve">submit the said </w:t>
            </w:r>
            <w:r w:rsidR="00976F79" w:rsidRPr="00250CC4">
              <w:rPr>
                <w:lang w:val="en-GB"/>
              </w:rPr>
              <w:lastRenderedPageBreak/>
              <w:t xml:space="preserve">certificate, the </w:t>
            </w:r>
            <w:r w:rsidR="00C01B37" w:rsidRPr="00250CC4">
              <w:rPr>
                <w:lang w:val="en-GB"/>
              </w:rPr>
              <w:t>Applicant shall be</w:t>
            </w:r>
            <w:r w:rsidR="00976F79" w:rsidRPr="00250CC4">
              <w:rPr>
                <w:lang w:val="en-GB"/>
              </w:rPr>
              <w:t xml:space="preserve"> excluded from participation in procurement.</w:t>
            </w:r>
          </w:p>
          <w:p w:rsidR="00DC6C50" w:rsidRPr="00250CC4" w:rsidRDefault="00DC6C50" w:rsidP="002A6C3B">
            <w:pPr>
              <w:pStyle w:val="NormalWeb"/>
              <w:spacing w:before="120" w:beforeAutospacing="0" w:after="0" w:afterAutospacing="0"/>
              <w:jc w:val="both"/>
              <w:rPr>
                <w:lang w:val="en-GB"/>
              </w:rPr>
            </w:pPr>
            <w:r w:rsidRPr="00250CC4">
              <w:rPr>
                <w:lang w:val="en-GB"/>
              </w:rPr>
              <w:t>2.4.</w:t>
            </w:r>
            <w:r w:rsidRPr="00250CC4">
              <w:rPr>
                <w:lang w:val="en-GB"/>
              </w:rPr>
              <w:tab/>
              <w:t>Should the Procurement Commission establish that the Applicant has debts of taxes administered by the State Revenue Service, including state mandatory social insurance contributions that exceed a total of EUR 150 in Latvia or in a country where it is registered or permanently residing, it shall act pursuant to Section 8</w:t>
            </w:r>
            <w:r w:rsidRPr="00250CC4">
              <w:rPr>
                <w:vertAlign w:val="superscript"/>
                <w:lang w:val="en-GB"/>
              </w:rPr>
              <w:t>2</w:t>
            </w:r>
            <w:r w:rsidRPr="00250CC4">
              <w:rPr>
                <w:lang w:val="en-GB"/>
              </w:rPr>
              <w:t xml:space="preserve"> Paragraph Eight Clause 2 of the PPL.</w:t>
            </w:r>
          </w:p>
          <w:p w:rsidR="00DC6C50" w:rsidRPr="00250CC4" w:rsidRDefault="00DC6C50" w:rsidP="002A6C3B">
            <w:pPr>
              <w:spacing w:before="120"/>
              <w:jc w:val="both"/>
              <w:rPr>
                <w:lang w:val="en-GB"/>
              </w:rPr>
            </w:pPr>
            <w:r w:rsidRPr="00250CC4">
              <w:rPr>
                <w:lang w:val="en-GB"/>
              </w:rPr>
              <w:t xml:space="preserve">2.5. The Commission shall recognise an Applicant as the winner in the procurement which has been selected in compliance with requirements and criteria referred to in Item 2.1. </w:t>
            </w:r>
            <w:proofErr w:type="gramStart"/>
            <w:r w:rsidRPr="00250CC4">
              <w:rPr>
                <w:lang w:val="en-GB"/>
              </w:rPr>
              <w:t>and</w:t>
            </w:r>
            <w:proofErr w:type="gramEnd"/>
            <w:r w:rsidRPr="00250CC4">
              <w:rPr>
                <w:lang w:val="en-GB"/>
              </w:rPr>
              <w:t xml:space="preserve"> has not been excluded in accordance with Item 2.2. In addition all rejected Applicants and the reasons for rejection thereof, the contract prices tendered by all Applicants and the comparative advantages of the Applicant determined as the winner shall be indicated in the decision by which the winner is determined.</w:t>
            </w:r>
          </w:p>
          <w:p w:rsidR="00DC6C50" w:rsidRPr="00250CC4" w:rsidRDefault="00DC6C50" w:rsidP="002A6C3B">
            <w:pPr>
              <w:spacing w:before="120"/>
              <w:jc w:val="both"/>
              <w:rPr>
                <w:lang w:val="en-GB"/>
              </w:rPr>
            </w:pPr>
            <w:r w:rsidRPr="00250CC4">
              <w:rPr>
                <w:lang w:val="en-GB"/>
              </w:rPr>
              <w:t xml:space="preserve">2.6. After the decision about the winner is made, all Applicants shall be informed about the decision of the Commission and the decision shall be published on the Contracting Authority’s website in three working days’ time. </w:t>
            </w:r>
            <w:r w:rsidRPr="00250CC4">
              <w:rPr>
                <w:color w:val="000000"/>
                <w:lang w:val="en-GB"/>
              </w:rPr>
              <w:t xml:space="preserve">The Contracting Authority shall, within a period of three </w:t>
            </w:r>
            <w:r w:rsidRPr="00250CC4">
              <w:rPr>
                <w:lang w:val="en-GB"/>
              </w:rPr>
              <w:t>weekdays</w:t>
            </w:r>
            <w:r w:rsidRPr="00250CC4">
              <w:rPr>
                <w:color w:val="000000"/>
                <w:lang w:val="en-GB"/>
              </w:rPr>
              <w:t xml:space="preserve"> from the receipt of the </w:t>
            </w:r>
            <w:r w:rsidRPr="00250CC4">
              <w:rPr>
                <w:lang w:val="en-GB"/>
              </w:rPr>
              <w:t xml:space="preserve">Applicant’s </w:t>
            </w:r>
            <w:r w:rsidRPr="00250CC4">
              <w:rPr>
                <w:color w:val="000000"/>
                <w:lang w:val="en-GB"/>
              </w:rPr>
              <w:t xml:space="preserve">request, issue or send the </w:t>
            </w:r>
            <w:r w:rsidRPr="00250CC4">
              <w:rPr>
                <w:lang w:val="en-GB"/>
              </w:rPr>
              <w:t xml:space="preserve">above-mentioned </w:t>
            </w:r>
            <w:r w:rsidRPr="00250CC4">
              <w:rPr>
                <w:color w:val="000000"/>
                <w:lang w:val="en-GB"/>
              </w:rPr>
              <w:t>decision to the Applicant.</w:t>
            </w:r>
          </w:p>
          <w:p w:rsidR="00DC6C50" w:rsidRPr="00250CC4" w:rsidRDefault="00DC6C50" w:rsidP="002A6C3B">
            <w:pPr>
              <w:spacing w:before="120"/>
              <w:jc w:val="both"/>
              <w:rPr>
                <w:lang w:val="en-GB"/>
              </w:rPr>
            </w:pPr>
            <w:r w:rsidRPr="00250CC4">
              <w:rPr>
                <w:lang w:val="en-GB"/>
              </w:rPr>
              <w:t>2.7. The Contracting Authority shall enter into a procurement contract with the Applicant selected by the Commission. The Contracting Authority is entitled to discontinue the procurement and not to enter into a contract if such action has an objective justification.</w:t>
            </w:r>
          </w:p>
          <w:p w:rsidR="00DC6C50" w:rsidRPr="00250CC4" w:rsidRDefault="00DC6C50" w:rsidP="002A6C3B">
            <w:pPr>
              <w:spacing w:before="120"/>
              <w:jc w:val="both"/>
              <w:rPr>
                <w:lang w:val="en-GB"/>
              </w:rPr>
            </w:pPr>
            <w:r w:rsidRPr="00250CC4">
              <w:rPr>
                <w:lang w:val="en-GB"/>
              </w:rPr>
              <w:t>2.8. Not later than five working days after entering into the contract, the Contracting Authority shall publish an informative notice regarding the entered into contract on the Internet home page of the Procurement Monitoring Bureau.</w:t>
            </w:r>
          </w:p>
          <w:p w:rsidR="00DC6C50" w:rsidRPr="00250CC4" w:rsidRDefault="00DC6C50" w:rsidP="002A6C3B">
            <w:pPr>
              <w:spacing w:before="120"/>
              <w:jc w:val="both"/>
              <w:rPr>
                <w:lang w:val="en-GB"/>
              </w:rPr>
            </w:pPr>
            <w:r w:rsidRPr="00250CC4">
              <w:rPr>
                <w:lang w:val="en-GB"/>
              </w:rPr>
              <w:t xml:space="preserve">2.9. Not later than on the day of entering into the contract, the Contracting Authority shall publish the contract on the Contracting Authority’s Internet home page. The contract shall be published in accordance with the laws and regulations of compliance with trade secret protection. Contract </w:t>
            </w:r>
            <w:r w:rsidRPr="00250CC4">
              <w:rPr>
                <w:lang w:val="en-GB"/>
              </w:rPr>
              <w:lastRenderedPageBreak/>
              <w:t>and its amendments shall be available on the Contracting Authority’s Internet home page at least throughout the contract period, but not less than 36 months after the date of entering into the contract.</w:t>
            </w:r>
          </w:p>
          <w:p w:rsidR="00DC6C50" w:rsidRPr="00250CC4" w:rsidRDefault="00DC6C50" w:rsidP="002A6C3B">
            <w:pPr>
              <w:spacing w:before="120"/>
              <w:rPr>
                <w:lang w:val="en-GB"/>
              </w:rPr>
            </w:pPr>
            <w:r w:rsidRPr="00250CC4">
              <w:rPr>
                <w:lang w:val="en-GB"/>
              </w:rPr>
              <w:t>2.10.</w:t>
            </w:r>
            <w:r w:rsidRPr="00250CC4">
              <w:rPr>
                <w:lang w:val="en-GB"/>
              </w:rPr>
              <w:tab/>
              <w:t>Amendments to the procurement contract, where necessary, shall be introduced in line with the provisions of Section 67</w:t>
            </w:r>
            <w:r w:rsidRPr="00250CC4">
              <w:rPr>
                <w:vertAlign w:val="superscript"/>
                <w:lang w:val="en-GB"/>
              </w:rPr>
              <w:t>1</w:t>
            </w:r>
            <w:r w:rsidRPr="00250CC4">
              <w:rPr>
                <w:lang w:val="en-GB"/>
              </w:rPr>
              <w:t xml:space="preserve"> of the PPL.</w:t>
            </w:r>
          </w:p>
          <w:p w:rsidR="00DC6C50" w:rsidRPr="00250CC4" w:rsidRDefault="00DC6C50" w:rsidP="002A6C3B">
            <w:pPr>
              <w:spacing w:before="120"/>
              <w:jc w:val="both"/>
              <w:rPr>
                <w:b/>
                <w:bCs/>
              </w:rPr>
            </w:pPr>
          </w:p>
        </w:tc>
      </w:tr>
    </w:tbl>
    <w:p w:rsidR="00DC6C50" w:rsidRPr="00250CC4" w:rsidRDefault="00DC6C50" w:rsidP="00EF486E">
      <w:pPr>
        <w:spacing w:before="120"/>
        <w:jc w:val="both"/>
        <w:rPr>
          <w:b/>
          <w:bCs/>
        </w:rPr>
      </w:pPr>
    </w:p>
    <w:p w:rsidR="00194F61" w:rsidRPr="00250CC4" w:rsidRDefault="00194F61" w:rsidP="007A3F90">
      <w:pPr>
        <w:spacing w:before="120"/>
        <w:jc w:val="both"/>
        <w:rPr>
          <w:sz w:val="18"/>
          <w:szCs w:val="18"/>
        </w:rPr>
      </w:pPr>
      <w:r w:rsidRPr="00250CC4">
        <w:br w:type="page"/>
      </w:r>
    </w:p>
    <w:p w:rsidR="00945BBD" w:rsidRPr="00250CC4" w:rsidRDefault="00945BBD" w:rsidP="00945BBD">
      <w:pPr>
        <w:spacing w:before="120"/>
        <w:jc w:val="both"/>
        <w:rPr>
          <w:sz w:val="18"/>
          <w:szCs w:val="18"/>
        </w:rPr>
      </w:pPr>
      <w:r w:rsidRPr="00250CC4">
        <w:rPr>
          <w:b/>
          <w:bCs/>
          <w:i/>
          <w:iCs/>
          <w:sz w:val="20"/>
          <w:szCs w:val="20"/>
        </w:rPr>
        <w:lastRenderedPageBreak/>
        <w:t>AIZPILDA PRETENDENTS</w:t>
      </w:r>
      <w:r w:rsidR="004A1E7A" w:rsidRPr="00250CC4">
        <w:rPr>
          <w:b/>
          <w:bCs/>
          <w:i/>
          <w:iCs/>
          <w:sz w:val="20"/>
          <w:szCs w:val="20"/>
        </w:rPr>
        <w:t xml:space="preserve"> / SHALL BE FILLED IN BY THE APPLICANT</w:t>
      </w:r>
    </w:p>
    <w:p w:rsidR="004A1E7A" w:rsidRPr="00250CC4" w:rsidRDefault="004A1E7A" w:rsidP="00107369">
      <w:pPr>
        <w:jc w:val="right"/>
        <w:rPr>
          <w:sz w:val="22"/>
          <w:szCs w:val="22"/>
        </w:rPr>
      </w:pPr>
    </w:p>
    <w:p w:rsidR="00107369" w:rsidRPr="00250CC4" w:rsidRDefault="00107369" w:rsidP="00107369">
      <w:pPr>
        <w:jc w:val="right"/>
        <w:rPr>
          <w:sz w:val="22"/>
          <w:szCs w:val="22"/>
        </w:rPr>
      </w:pPr>
      <w:r w:rsidRPr="00250CC4">
        <w:rPr>
          <w:sz w:val="22"/>
          <w:szCs w:val="22"/>
        </w:rPr>
        <w:t xml:space="preserve">2. pielikums / </w:t>
      </w:r>
      <w:proofErr w:type="spellStart"/>
      <w:r w:rsidRPr="00250CC4">
        <w:rPr>
          <w:sz w:val="22"/>
          <w:szCs w:val="22"/>
        </w:rPr>
        <w:t>Annex</w:t>
      </w:r>
      <w:proofErr w:type="spellEnd"/>
      <w:r w:rsidRPr="00250CC4">
        <w:rPr>
          <w:sz w:val="22"/>
          <w:szCs w:val="22"/>
        </w:rPr>
        <w:t xml:space="preserve"> 2</w:t>
      </w:r>
    </w:p>
    <w:p w:rsidR="00107369" w:rsidRPr="00250CC4" w:rsidRDefault="00107369" w:rsidP="00107369">
      <w:pPr>
        <w:tabs>
          <w:tab w:val="left" w:pos="855"/>
        </w:tabs>
        <w:jc w:val="right"/>
        <w:rPr>
          <w:sz w:val="22"/>
          <w:szCs w:val="22"/>
        </w:rPr>
      </w:pPr>
      <w:r w:rsidRPr="00250CC4">
        <w:rPr>
          <w:sz w:val="22"/>
          <w:szCs w:val="22"/>
        </w:rPr>
        <w:t>iepirkuma LU CFI 2015/44/ERAF „</w:t>
      </w:r>
      <w:r w:rsidRPr="00250CC4">
        <w:rPr>
          <w:color w:val="000000"/>
        </w:rPr>
        <w:t>Tiešsaistes pieejas licences (</w:t>
      </w:r>
      <w:proofErr w:type="spellStart"/>
      <w:r w:rsidRPr="00250CC4">
        <w:rPr>
          <w:color w:val="000000"/>
        </w:rPr>
        <w:t>the</w:t>
      </w:r>
      <w:proofErr w:type="spellEnd"/>
      <w:r w:rsidRPr="00250CC4">
        <w:rPr>
          <w:color w:val="000000"/>
        </w:rPr>
        <w:t xml:space="preserve"> </w:t>
      </w:r>
      <w:proofErr w:type="spellStart"/>
      <w:r w:rsidRPr="00250CC4">
        <w:rPr>
          <w:color w:val="000000"/>
        </w:rPr>
        <w:t>site</w:t>
      </w:r>
      <w:proofErr w:type="spellEnd"/>
      <w:r w:rsidRPr="00250CC4">
        <w:rPr>
          <w:color w:val="000000"/>
        </w:rPr>
        <w:t xml:space="preserve"> </w:t>
      </w:r>
      <w:proofErr w:type="spellStart"/>
      <w:r w:rsidRPr="00250CC4">
        <w:rPr>
          <w:color w:val="000000"/>
        </w:rPr>
        <w:t>licenses</w:t>
      </w:r>
      <w:proofErr w:type="spellEnd"/>
      <w:r w:rsidRPr="00250CC4">
        <w:rPr>
          <w:color w:val="000000"/>
        </w:rPr>
        <w:t>) izdevniecības "</w:t>
      </w:r>
      <w:proofErr w:type="spellStart"/>
      <w:r w:rsidRPr="00250CC4">
        <w:rPr>
          <w:color w:val="000000"/>
        </w:rPr>
        <w:t>Nature</w:t>
      </w:r>
      <w:proofErr w:type="spellEnd"/>
      <w:r w:rsidRPr="00250CC4">
        <w:rPr>
          <w:color w:val="000000"/>
        </w:rPr>
        <w:t xml:space="preserve"> </w:t>
      </w:r>
      <w:proofErr w:type="spellStart"/>
      <w:r w:rsidRPr="00250CC4">
        <w:rPr>
          <w:color w:val="000000"/>
        </w:rPr>
        <w:t>Publishing</w:t>
      </w:r>
      <w:proofErr w:type="spellEnd"/>
      <w:r w:rsidRPr="00250CC4">
        <w:rPr>
          <w:color w:val="000000"/>
        </w:rPr>
        <w:t xml:space="preserve"> </w:t>
      </w:r>
      <w:proofErr w:type="spellStart"/>
      <w:r w:rsidRPr="00250CC4">
        <w:rPr>
          <w:color w:val="000000"/>
        </w:rPr>
        <w:t>Group</w:t>
      </w:r>
      <w:proofErr w:type="spellEnd"/>
      <w:r w:rsidRPr="00250CC4">
        <w:rPr>
          <w:color w:val="000000"/>
        </w:rPr>
        <w:t>" žurnāliem</w:t>
      </w:r>
      <w:r w:rsidRPr="00250CC4">
        <w:rPr>
          <w:sz w:val="22"/>
          <w:szCs w:val="22"/>
        </w:rPr>
        <w:t>” Uzaicinājumam</w:t>
      </w:r>
    </w:p>
    <w:p w:rsidR="00B26AE1" w:rsidRPr="00250CC4" w:rsidRDefault="00B26AE1" w:rsidP="00945BBD">
      <w:pPr>
        <w:pStyle w:val="naisf"/>
        <w:spacing w:before="0" w:after="0"/>
        <w:ind w:right="-342"/>
        <w:rPr>
          <w:lang w:val="lv-LV"/>
        </w:rPr>
      </w:pPr>
    </w:p>
    <w:p w:rsidR="00945BBD" w:rsidRPr="00250CC4" w:rsidRDefault="00945BBD" w:rsidP="00945BBD">
      <w:pPr>
        <w:pStyle w:val="naisf"/>
        <w:spacing w:before="0" w:after="0"/>
        <w:ind w:right="-342"/>
        <w:rPr>
          <w:lang w:val="lv-LV"/>
        </w:rPr>
      </w:pPr>
      <w:r w:rsidRPr="00250CC4">
        <w:rPr>
          <w:lang w:val="lv-LV"/>
        </w:rPr>
        <w:t>Pretendenta nosaukums: _________________________________________________</w:t>
      </w:r>
    </w:p>
    <w:p w:rsidR="00945BBD" w:rsidRPr="00250CC4" w:rsidRDefault="00945BBD" w:rsidP="00945BBD">
      <w:pPr>
        <w:pStyle w:val="naisf"/>
        <w:spacing w:before="0" w:after="0"/>
        <w:ind w:right="-342"/>
        <w:rPr>
          <w:sz w:val="16"/>
          <w:szCs w:val="16"/>
          <w:lang w:val="lv-LV"/>
        </w:rPr>
      </w:pPr>
    </w:p>
    <w:p w:rsidR="00945BBD" w:rsidRPr="00250CC4" w:rsidRDefault="00945BBD" w:rsidP="00945BBD">
      <w:pPr>
        <w:pStyle w:val="naisf"/>
        <w:spacing w:before="0" w:after="0"/>
        <w:ind w:right="-342"/>
        <w:rPr>
          <w:lang w:val="lv-LV"/>
        </w:rPr>
      </w:pPr>
      <w:proofErr w:type="spellStart"/>
      <w:r w:rsidRPr="00250CC4">
        <w:rPr>
          <w:lang w:val="lv-LV"/>
        </w:rPr>
        <w:t>Reģ.Nr</w:t>
      </w:r>
      <w:proofErr w:type="spellEnd"/>
      <w:r w:rsidRPr="00250CC4">
        <w:rPr>
          <w:lang w:val="lv-LV"/>
        </w:rPr>
        <w:t>. ____________________PVN maksātāja Nr.___________________________</w:t>
      </w:r>
    </w:p>
    <w:p w:rsidR="00945BBD" w:rsidRPr="00250CC4" w:rsidRDefault="00945BBD" w:rsidP="00945BBD">
      <w:pPr>
        <w:pStyle w:val="naisf"/>
        <w:spacing w:before="0" w:after="0"/>
        <w:ind w:right="-342"/>
        <w:rPr>
          <w:sz w:val="16"/>
          <w:szCs w:val="16"/>
          <w:lang w:val="lv-LV"/>
        </w:rPr>
      </w:pPr>
    </w:p>
    <w:p w:rsidR="00945BBD" w:rsidRPr="00250CC4" w:rsidRDefault="00945BBD" w:rsidP="00945BBD">
      <w:pPr>
        <w:pStyle w:val="naisf"/>
        <w:spacing w:before="0" w:after="0"/>
        <w:ind w:right="-342"/>
        <w:rPr>
          <w:lang w:val="lv-LV"/>
        </w:rPr>
      </w:pPr>
      <w:proofErr w:type="spellStart"/>
      <w:r w:rsidRPr="00250CC4">
        <w:rPr>
          <w:lang w:val="lv-LV"/>
        </w:rPr>
        <w:t>Jurid</w:t>
      </w:r>
      <w:proofErr w:type="spellEnd"/>
      <w:r w:rsidRPr="00250CC4">
        <w:rPr>
          <w:lang w:val="lv-LV"/>
        </w:rPr>
        <w:t>. adrese  __________________________________________________________</w:t>
      </w:r>
    </w:p>
    <w:p w:rsidR="00945BBD" w:rsidRPr="00250CC4" w:rsidRDefault="00945BBD" w:rsidP="00945BBD">
      <w:pPr>
        <w:pStyle w:val="naisf"/>
        <w:spacing w:before="0" w:after="0"/>
        <w:ind w:right="-342"/>
        <w:rPr>
          <w:sz w:val="16"/>
          <w:szCs w:val="16"/>
          <w:lang w:val="lv-LV"/>
        </w:rPr>
      </w:pPr>
    </w:p>
    <w:p w:rsidR="00945BBD" w:rsidRPr="00250CC4" w:rsidRDefault="00945BBD" w:rsidP="00945BBD">
      <w:pPr>
        <w:pStyle w:val="naisf"/>
        <w:spacing w:before="0" w:after="0"/>
        <w:ind w:right="-342"/>
        <w:rPr>
          <w:lang w:val="lv-LV"/>
        </w:rPr>
      </w:pPr>
      <w:r w:rsidRPr="00250CC4">
        <w:rPr>
          <w:lang w:val="lv-LV"/>
        </w:rPr>
        <w:t>Faktiskā adrese _________________________________________________________</w:t>
      </w:r>
    </w:p>
    <w:p w:rsidR="00945BBD" w:rsidRPr="00250CC4" w:rsidRDefault="00945BBD" w:rsidP="00945BBD">
      <w:pPr>
        <w:pStyle w:val="naisf"/>
        <w:spacing w:before="0" w:after="0"/>
        <w:ind w:right="-342"/>
        <w:rPr>
          <w:sz w:val="16"/>
          <w:szCs w:val="16"/>
          <w:lang w:val="lv-LV"/>
        </w:rPr>
      </w:pPr>
    </w:p>
    <w:p w:rsidR="00945BBD" w:rsidRPr="00250CC4" w:rsidRDefault="00945BBD" w:rsidP="00945BBD">
      <w:pPr>
        <w:pStyle w:val="naisf"/>
        <w:spacing w:before="0" w:after="0"/>
        <w:ind w:right="-342"/>
        <w:rPr>
          <w:lang w:val="lv-LV"/>
        </w:rPr>
      </w:pPr>
      <w:r w:rsidRPr="00250CC4">
        <w:rPr>
          <w:lang w:val="lv-LV"/>
        </w:rPr>
        <w:t>Tālrunis/fakss/e-pasts________________/ _________________/ _________________</w:t>
      </w:r>
    </w:p>
    <w:p w:rsidR="00945BBD" w:rsidRPr="00250CC4" w:rsidRDefault="00945BBD" w:rsidP="00945BBD">
      <w:pPr>
        <w:pStyle w:val="naisf"/>
        <w:spacing w:before="0" w:after="0"/>
        <w:ind w:right="-342"/>
        <w:rPr>
          <w:sz w:val="16"/>
          <w:szCs w:val="16"/>
          <w:lang w:val="lv-LV"/>
        </w:rPr>
      </w:pPr>
    </w:p>
    <w:p w:rsidR="00945BBD" w:rsidRPr="00250CC4" w:rsidRDefault="00945BBD" w:rsidP="00945BBD">
      <w:pPr>
        <w:ind w:right="-342"/>
        <w:rPr>
          <w:sz w:val="18"/>
          <w:szCs w:val="18"/>
        </w:rPr>
      </w:pPr>
    </w:p>
    <w:p w:rsidR="004A1E7A" w:rsidRPr="00250CC4" w:rsidRDefault="004A1E7A" w:rsidP="004A1E7A">
      <w:pPr>
        <w:jc w:val="right"/>
        <w:rPr>
          <w:sz w:val="22"/>
          <w:szCs w:val="22"/>
        </w:rPr>
      </w:pPr>
    </w:p>
    <w:p w:rsidR="004A1E7A" w:rsidRPr="00250CC4" w:rsidRDefault="004A1E7A" w:rsidP="004A1E7A">
      <w:pPr>
        <w:jc w:val="right"/>
        <w:rPr>
          <w:sz w:val="22"/>
          <w:szCs w:val="22"/>
        </w:rPr>
      </w:pPr>
      <w:proofErr w:type="spellStart"/>
      <w:r w:rsidRPr="00250CC4">
        <w:rPr>
          <w:sz w:val="22"/>
          <w:szCs w:val="22"/>
        </w:rPr>
        <w:t>Annex</w:t>
      </w:r>
      <w:proofErr w:type="spellEnd"/>
      <w:r w:rsidRPr="00250CC4">
        <w:rPr>
          <w:sz w:val="22"/>
          <w:szCs w:val="22"/>
        </w:rPr>
        <w:t xml:space="preserve"> 2</w:t>
      </w:r>
    </w:p>
    <w:p w:rsidR="004A1E7A" w:rsidRPr="00250CC4" w:rsidRDefault="004A1E7A" w:rsidP="004A1E7A">
      <w:pPr>
        <w:tabs>
          <w:tab w:val="left" w:pos="855"/>
        </w:tabs>
        <w:jc w:val="right"/>
        <w:rPr>
          <w:color w:val="000000"/>
        </w:rPr>
      </w:pPr>
      <w:proofErr w:type="gramStart"/>
      <w:r w:rsidRPr="00250CC4">
        <w:rPr>
          <w:lang w:val="en-GB"/>
        </w:rPr>
        <w:t>to</w:t>
      </w:r>
      <w:proofErr w:type="gramEnd"/>
      <w:r w:rsidRPr="00250CC4">
        <w:rPr>
          <w:lang w:val="en-GB"/>
        </w:rPr>
        <w:t xml:space="preserve"> Invitation </w:t>
      </w:r>
      <w:r w:rsidRPr="00250CC4">
        <w:rPr>
          <w:sz w:val="22"/>
          <w:szCs w:val="22"/>
        </w:rPr>
        <w:t>LU CFI 2015/44/ERAF “</w:t>
      </w:r>
      <w:proofErr w:type="spellStart"/>
      <w:r w:rsidRPr="00250CC4">
        <w:t>T</w:t>
      </w:r>
      <w:r w:rsidRPr="00250CC4">
        <w:rPr>
          <w:color w:val="000000"/>
        </w:rPr>
        <w:t>he</w:t>
      </w:r>
      <w:proofErr w:type="spellEnd"/>
      <w:r w:rsidRPr="00250CC4">
        <w:rPr>
          <w:color w:val="000000"/>
        </w:rPr>
        <w:t xml:space="preserve"> </w:t>
      </w:r>
      <w:proofErr w:type="spellStart"/>
      <w:r w:rsidRPr="00250CC4">
        <w:rPr>
          <w:color w:val="000000"/>
        </w:rPr>
        <w:t>site</w:t>
      </w:r>
      <w:proofErr w:type="spellEnd"/>
      <w:r w:rsidRPr="00250CC4">
        <w:rPr>
          <w:color w:val="000000"/>
        </w:rPr>
        <w:t xml:space="preserve"> </w:t>
      </w:r>
      <w:proofErr w:type="spellStart"/>
      <w:r w:rsidRPr="00250CC4">
        <w:rPr>
          <w:color w:val="000000"/>
        </w:rPr>
        <w:t>licenses</w:t>
      </w:r>
      <w:proofErr w:type="spellEnd"/>
      <w:r w:rsidRPr="00250CC4">
        <w:rPr>
          <w:color w:val="000000"/>
        </w:rPr>
        <w:t xml:space="preserve"> </w:t>
      </w:r>
      <w:proofErr w:type="spellStart"/>
      <w:r w:rsidRPr="00250CC4">
        <w:rPr>
          <w:color w:val="000000"/>
        </w:rPr>
        <w:t>for</w:t>
      </w:r>
      <w:proofErr w:type="spellEnd"/>
      <w:r w:rsidRPr="00250CC4">
        <w:rPr>
          <w:color w:val="000000"/>
        </w:rPr>
        <w:t xml:space="preserve"> </w:t>
      </w:r>
      <w:proofErr w:type="spellStart"/>
      <w:r w:rsidRPr="00250CC4">
        <w:rPr>
          <w:color w:val="000000"/>
        </w:rPr>
        <w:t>on-line</w:t>
      </w:r>
      <w:proofErr w:type="spellEnd"/>
      <w:r w:rsidRPr="00250CC4">
        <w:rPr>
          <w:color w:val="000000"/>
        </w:rPr>
        <w:t xml:space="preserve"> </w:t>
      </w:r>
      <w:proofErr w:type="spellStart"/>
      <w:r w:rsidRPr="00250CC4">
        <w:rPr>
          <w:color w:val="000000"/>
        </w:rPr>
        <w:t>access</w:t>
      </w:r>
      <w:proofErr w:type="spellEnd"/>
      <w:r w:rsidRPr="00250CC4">
        <w:rPr>
          <w:color w:val="000000"/>
        </w:rPr>
        <w:t xml:space="preserve"> </w:t>
      </w:r>
    </w:p>
    <w:p w:rsidR="004A1E7A" w:rsidRPr="00250CC4" w:rsidRDefault="004A1E7A" w:rsidP="004A1E7A">
      <w:pPr>
        <w:tabs>
          <w:tab w:val="left" w:pos="855"/>
        </w:tabs>
        <w:jc w:val="right"/>
        <w:rPr>
          <w:sz w:val="22"/>
          <w:szCs w:val="22"/>
        </w:rPr>
      </w:pPr>
      <w:r w:rsidRPr="00250CC4">
        <w:rPr>
          <w:color w:val="000000"/>
        </w:rPr>
        <w:t xml:space="preserve">to </w:t>
      </w:r>
      <w:proofErr w:type="spellStart"/>
      <w:r w:rsidRPr="00250CC4">
        <w:rPr>
          <w:color w:val="000000"/>
        </w:rPr>
        <w:t>journals</w:t>
      </w:r>
      <w:proofErr w:type="spellEnd"/>
      <w:r w:rsidRPr="00250CC4">
        <w:rPr>
          <w:color w:val="000000"/>
        </w:rPr>
        <w:t xml:space="preserve"> </w:t>
      </w:r>
      <w:proofErr w:type="spellStart"/>
      <w:r w:rsidRPr="00250CC4">
        <w:rPr>
          <w:color w:val="000000"/>
        </w:rPr>
        <w:t>from</w:t>
      </w:r>
      <w:proofErr w:type="spellEnd"/>
      <w:r w:rsidRPr="00250CC4">
        <w:rPr>
          <w:color w:val="000000"/>
        </w:rPr>
        <w:t xml:space="preserve"> </w:t>
      </w:r>
      <w:proofErr w:type="spellStart"/>
      <w:r w:rsidRPr="00250CC4">
        <w:rPr>
          <w:color w:val="000000"/>
        </w:rPr>
        <w:t>publisher</w:t>
      </w:r>
      <w:proofErr w:type="spellEnd"/>
      <w:r w:rsidRPr="00250CC4">
        <w:rPr>
          <w:color w:val="000000"/>
        </w:rPr>
        <w:t xml:space="preserve"> “</w:t>
      </w:r>
      <w:proofErr w:type="spellStart"/>
      <w:r w:rsidRPr="00250CC4">
        <w:rPr>
          <w:color w:val="000000"/>
        </w:rPr>
        <w:t>Nature</w:t>
      </w:r>
      <w:proofErr w:type="spellEnd"/>
      <w:r w:rsidRPr="00250CC4">
        <w:rPr>
          <w:color w:val="000000"/>
        </w:rPr>
        <w:t xml:space="preserve"> </w:t>
      </w:r>
      <w:proofErr w:type="spellStart"/>
      <w:r w:rsidRPr="00250CC4">
        <w:rPr>
          <w:color w:val="000000"/>
        </w:rPr>
        <w:t>Publishing</w:t>
      </w:r>
      <w:proofErr w:type="spellEnd"/>
      <w:r w:rsidRPr="00250CC4">
        <w:rPr>
          <w:color w:val="000000"/>
        </w:rPr>
        <w:t xml:space="preserve"> </w:t>
      </w:r>
      <w:proofErr w:type="spellStart"/>
      <w:r w:rsidRPr="00250CC4">
        <w:rPr>
          <w:color w:val="000000"/>
        </w:rPr>
        <w:t>Group</w:t>
      </w:r>
      <w:proofErr w:type="spellEnd"/>
      <w:r w:rsidRPr="00250CC4">
        <w:rPr>
          <w:color w:val="000000"/>
        </w:rPr>
        <w:t>””</w:t>
      </w:r>
      <w:r w:rsidRPr="00250CC4">
        <w:rPr>
          <w:sz w:val="22"/>
          <w:szCs w:val="22"/>
        </w:rPr>
        <w:t xml:space="preserve"> </w:t>
      </w:r>
    </w:p>
    <w:p w:rsidR="004A1E7A" w:rsidRPr="00250CC4" w:rsidRDefault="004A1E7A" w:rsidP="004A1E7A">
      <w:pPr>
        <w:pStyle w:val="naisf"/>
        <w:spacing w:before="0" w:after="0"/>
      </w:pPr>
      <w:r w:rsidRPr="00250CC4">
        <w:t>Name of the Applicant: ___________________________________________________</w:t>
      </w:r>
    </w:p>
    <w:p w:rsidR="004A1E7A" w:rsidRPr="00250CC4" w:rsidRDefault="004A1E7A" w:rsidP="004A1E7A">
      <w:pPr>
        <w:pStyle w:val="naisf"/>
        <w:spacing w:before="0" w:after="0"/>
      </w:pPr>
    </w:p>
    <w:p w:rsidR="004A1E7A" w:rsidRPr="00250CC4" w:rsidRDefault="004A1E7A" w:rsidP="004A1E7A">
      <w:pPr>
        <w:pStyle w:val="naisf"/>
        <w:spacing w:before="0" w:after="0"/>
      </w:pPr>
      <w:proofErr w:type="gramStart"/>
      <w:r w:rsidRPr="00250CC4">
        <w:t>Registration No.</w:t>
      </w:r>
      <w:proofErr w:type="gramEnd"/>
      <w:r w:rsidRPr="00250CC4">
        <w:t xml:space="preserve"> </w:t>
      </w:r>
      <w:proofErr w:type="gramStart"/>
      <w:r w:rsidRPr="00250CC4">
        <w:t>___________________ VAT payer’s No.</w:t>
      </w:r>
      <w:proofErr w:type="gramEnd"/>
      <w:r w:rsidRPr="00250CC4">
        <w:t xml:space="preserve"> ______________________</w:t>
      </w:r>
    </w:p>
    <w:p w:rsidR="004A1E7A" w:rsidRPr="00250CC4" w:rsidRDefault="004A1E7A" w:rsidP="004A1E7A">
      <w:pPr>
        <w:pStyle w:val="naisf"/>
        <w:spacing w:before="0" w:after="0"/>
      </w:pPr>
    </w:p>
    <w:p w:rsidR="004A1E7A" w:rsidRPr="00250CC4" w:rsidRDefault="004A1E7A" w:rsidP="004A1E7A">
      <w:pPr>
        <w:pStyle w:val="naisf"/>
        <w:spacing w:before="0" w:after="0"/>
      </w:pPr>
      <w:r w:rsidRPr="00250CC4">
        <w:t>Registered address ______________________________________________________</w:t>
      </w:r>
    </w:p>
    <w:p w:rsidR="004A1E7A" w:rsidRPr="00250CC4" w:rsidRDefault="004A1E7A" w:rsidP="004A1E7A">
      <w:pPr>
        <w:pStyle w:val="naisf"/>
        <w:spacing w:before="0" w:after="0"/>
      </w:pPr>
    </w:p>
    <w:p w:rsidR="004A1E7A" w:rsidRPr="00250CC4" w:rsidRDefault="004A1E7A" w:rsidP="004A1E7A">
      <w:pPr>
        <w:pStyle w:val="naisf"/>
        <w:spacing w:before="0" w:after="0"/>
      </w:pPr>
      <w:r w:rsidRPr="00250CC4">
        <w:t>Actual address _________________________________________________________</w:t>
      </w:r>
    </w:p>
    <w:p w:rsidR="004A1E7A" w:rsidRPr="00250CC4" w:rsidRDefault="004A1E7A" w:rsidP="004A1E7A">
      <w:pPr>
        <w:pStyle w:val="naisf"/>
        <w:spacing w:before="0" w:after="0"/>
      </w:pPr>
    </w:p>
    <w:p w:rsidR="004A1E7A" w:rsidRPr="00250CC4" w:rsidRDefault="004A1E7A" w:rsidP="004A1E7A">
      <w:pPr>
        <w:pStyle w:val="naisf"/>
        <w:spacing w:before="0" w:after="0"/>
      </w:pPr>
      <w:r w:rsidRPr="00250CC4">
        <w:t>Telephone/Fax/e-mail________________/ _________________/ _________________</w:t>
      </w:r>
    </w:p>
    <w:p w:rsidR="004A1E7A" w:rsidRPr="00250CC4" w:rsidRDefault="004A1E7A" w:rsidP="004A1E7A">
      <w:pPr>
        <w:pStyle w:val="naisf"/>
        <w:spacing w:before="0" w:after="0"/>
      </w:pPr>
    </w:p>
    <w:p w:rsidR="004A1E7A" w:rsidRPr="00250CC4" w:rsidRDefault="004A1E7A" w:rsidP="00945BBD">
      <w:pPr>
        <w:pStyle w:val="naisf"/>
        <w:spacing w:before="0" w:after="0"/>
        <w:ind w:right="-342"/>
        <w:jc w:val="center"/>
        <w:rPr>
          <w:b/>
          <w:bCs/>
          <w:i/>
          <w:iCs/>
          <w:lang w:val="lv-LV"/>
        </w:rPr>
      </w:pPr>
    </w:p>
    <w:p w:rsidR="004A1E7A" w:rsidRPr="00250CC4" w:rsidRDefault="004A1E7A" w:rsidP="00945BBD">
      <w:pPr>
        <w:pStyle w:val="naisf"/>
        <w:spacing w:before="0" w:after="0"/>
        <w:ind w:right="-342"/>
        <w:jc w:val="center"/>
        <w:rPr>
          <w:b/>
          <w:bCs/>
          <w:i/>
          <w:iCs/>
          <w:lang w:val="lv-LV"/>
        </w:rPr>
      </w:pPr>
    </w:p>
    <w:p w:rsidR="00945BBD" w:rsidRPr="00250CC4" w:rsidRDefault="004A1E7A" w:rsidP="00945BBD">
      <w:pPr>
        <w:pStyle w:val="naisf"/>
        <w:spacing w:before="0" w:after="0"/>
        <w:ind w:right="-342"/>
        <w:jc w:val="center"/>
        <w:rPr>
          <w:b/>
          <w:bCs/>
          <w:i/>
          <w:lang w:val="lv-LV"/>
        </w:rPr>
      </w:pPr>
      <w:r w:rsidRPr="00250CC4">
        <w:rPr>
          <w:b/>
          <w:bCs/>
          <w:i/>
          <w:iCs/>
          <w:lang w:val="lv-LV"/>
        </w:rPr>
        <w:t>Pieteikums</w:t>
      </w:r>
    </w:p>
    <w:p w:rsidR="00945BBD" w:rsidRPr="00250CC4" w:rsidRDefault="00945BBD" w:rsidP="00D32F0A">
      <w:pPr>
        <w:tabs>
          <w:tab w:val="left" w:pos="855"/>
        </w:tabs>
      </w:pPr>
      <w:r w:rsidRPr="00250CC4">
        <w:t xml:space="preserve">Vēlamies piedalīties iepirkumā </w:t>
      </w:r>
      <w:r w:rsidR="00D32F0A" w:rsidRPr="00250CC4">
        <w:rPr>
          <w:sz w:val="22"/>
          <w:szCs w:val="22"/>
        </w:rPr>
        <w:t>LU CFI 2015/4</w:t>
      </w:r>
      <w:r w:rsidR="000921D3" w:rsidRPr="00250CC4">
        <w:rPr>
          <w:sz w:val="22"/>
          <w:szCs w:val="22"/>
        </w:rPr>
        <w:t>4</w:t>
      </w:r>
      <w:r w:rsidR="00D32F0A" w:rsidRPr="00250CC4">
        <w:rPr>
          <w:sz w:val="22"/>
          <w:szCs w:val="22"/>
        </w:rPr>
        <w:t>/ERAF „</w:t>
      </w:r>
      <w:r w:rsidR="002C53FE" w:rsidRPr="00250CC4">
        <w:rPr>
          <w:color w:val="000000"/>
        </w:rPr>
        <w:t>Tiešsaistes pieejas licences (</w:t>
      </w:r>
      <w:proofErr w:type="spellStart"/>
      <w:r w:rsidR="002C53FE" w:rsidRPr="00250CC4">
        <w:rPr>
          <w:color w:val="000000"/>
        </w:rPr>
        <w:t>the</w:t>
      </w:r>
      <w:proofErr w:type="spellEnd"/>
      <w:r w:rsidR="002C53FE" w:rsidRPr="00250CC4">
        <w:rPr>
          <w:color w:val="000000"/>
        </w:rPr>
        <w:t xml:space="preserve"> </w:t>
      </w:r>
      <w:proofErr w:type="spellStart"/>
      <w:r w:rsidR="002C53FE" w:rsidRPr="00250CC4">
        <w:rPr>
          <w:color w:val="000000"/>
        </w:rPr>
        <w:t>site</w:t>
      </w:r>
      <w:proofErr w:type="spellEnd"/>
      <w:r w:rsidR="002C53FE" w:rsidRPr="00250CC4">
        <w:rPr>
          <w:color w:val="000000"/>
        </w:rPr>
        <w:t xml:space="preserve"> </w:t>
      </w:r>
      <w:proofErr w:type="spellStart"/>
      <w:r w:rsidR="002C53FE" w:rsidRPr="00250CC4">
        <w:rPr>
          <w:color w:val="000000"/>
        </w:rPr>
        <w:t>licenses</w:t>
      </w:r>
      <w:proofErr w:type="spellEnd"/>
      <w:r w:rsidR="002C53FE" w:rsidRPr="00250CC4">
        <w:rPr>
          <w:color w:val="000000"/>
        </w:rPr>
        <w:t>) izdevniecības "</w:t>
      </w:r>
      <w:proofErr w:type="spellStart"/>
      <w:r w:rsidR="002C53FE" w:rsidRPr="00250CC4">
        <w:rPr>
          <w:color w:val="000000"/>
        </w:rPr>
        <w:t>Nature</w:t>
      </w:r>
      <w:proofErr w:type="spellEnd"/>
      <w:r w:rsidR="002C53FE" w:rsidRPr="00250CC4">
        <w:rPr>
          <w:color w:val="000000"/>
        </w:rPr>
        <w:t xml:space="preserve"> </w:t>
      </w:r>
      <w:proofErr w:type="spellStart"/>
      <w:r w:rsidR="002C53FE" w:rsidRPr="00250CC4">
        <w:rPr>
          <w:color w:val="000000"/>
        </w:rPr>
        <w:t>Publishing</w:t>
      </w:r>
      <w:proofErr w:type="spellEnd"/>
      <w:r w:rsidR="002C53FE" w:rsidRPr="00250CC4">
        <w:rPr>
          <w:color w:val="000000"/>
        </w:rPr>
        <w:t xml:space="preserve"> </w:t>
      </w:r>
      <w:proofErr w:type="spellStart"/>
      <w:r w:rsidR="002C53FE" w:rsidRPr="00250CC4">
        <w:rPr>
          <w:color w:val="000000"/>
        </w:rPr>
        <w:t>Group</w:t>
      </w:r>
      <w:proofErr w:type="spellEnd"/>
      <w:r w:rsidR="002C53FE" w:rsidRPr="00250CC4">
        <w:rPr>
          <w:color w:val="000000"/>
        </w:rPr>
        <w:t>" žurnāliem</w:t>
      </w:r>
      <w:r w:rsidR="00D32F0A" w:rsidRPr="00250CC4">
        <w:rPr>
          <w:sz w:val="22"/>
          <w:szCs w:val="22"/>
        </w:rPr>
        <w:t xml:space="preserve">” </w:t>
      </w:r>
      <w:r w:rsidRPr="00250CC4">
        <w:t>un ar šo apliecinām, ka visas piedāvājumā sniegtās ziņas ir patiesas.</w:t>
      </w:r>
    </w:p>
    <w:p w:rsidR="004A1E7A" w:rsidRPr="00250CC4" w:rsidRDefault="004A1E7A" w:rsidP="004A1E7A">
      <w:pPr>
        <w:pStyle w:val="naisf"/>
        <w:spacing w:before="120" w:after="0"/>
        <w:jc w:val="center"/>
        <w:rPr>
          <w:b/>
          <w:bCs/>
          <w:i/>
          <w:iCs/>
        </w:rPr>
      </w:pPr>
    </w:p>
    <w:p w:rsidR="004A1E7A" w:rsidRPr="00250CC4" w:rsidRDefault="004A1E7A" w:rsidP="004A1E7A">
      <w:pPr>
        <w:pStyle w:val="naisf"/>
        <w:spacing w:before="120" w:after="0"/>
        <w:jc w:val="center"/>
        <w:rPr>
          <w:b/>
          <w:bCs/>
        </w:rPr>
      </w:pPr>
      <w:r w:rsidRPr="00250CC4">
        <w:rPr>
          <w:b/>
          <w:bCs/>
          <w:i/>
          <w:iCs/>
        </w:rPr>
        <w:t>Application</w:t>
      </w:r>
    </w:p>
    <w:p w:rsidR="004A1E7A" w:rsidRPr="00250CC4" w:rsidRDefault="004A1E7A" w:rsidP="004A1E7A">
      <w:pPr>
        <w:tabs>
          <w:tab w:val="left" w:pos="855"/>
        </w:tabs>
        <w:jc w:val="both"/>
      </w:pPr>
      <w:proofErr w:type="spellStart"/>
      <w:r w:rsidRPr="00250CC4">
        <w:t>We</w:t>
      </w:r>
      <w:proofErr w:type="spellEnd"/>
      <w:r w:rsidRPr="00250CC4">
        <w:t xml:space="preserve"> </w:t>
      </w:r>
      <w:proofErr w:type="spellStart"/>
      <w:r w:rsidRPr="00250CC4">
        <w:t>would</w:t>
      </w:r>
      <w:proofErr w:type="spellEnd"/>
      <w:r w:rsidRPr="00250CC4">
        <w:t xml:space="preserve"> </w:t>
      </w:r>
      <w:proofErr w:type="spellStart"/>
      <w:r w:rsidRPr="00250CC4">
        <w:t>like</w:t>
      </w:r>
      <w:proofErr w:type="spellEnd"/>
      <w:r w:rsidRPr="00250CC4">
        <w:t xml:space="preserve"> to </w:t>
      </w:r>
      <w:proofErr w:type="spellStart"/>
      <w:r w:rsidRPr="00250CC4">
        <w:t>participate</w:t>
      </w:r>
      <w:proofErr w:type="spellEnd"/>
      <w:r w:rsidRPr="00250CC4">
        <w:t xml:space="preserve"> </w:t>
      </w:r>
      <w:proofErr w:type="spellStart"/>
      <w:r w:rsidRPr="00250CC4">
        <w:t>in</w:t>
      </w:r>
      <w:proofErr w:type="spellEnd"/>
      <w:r w:rsidRPr="00250CC4">
        <w:t xml:space="preserve"> </w:t>
      </w:r>
      <w:proofErr w:type="spellStart"/>
      <w:r w:rsidRPr="00250CC4">
        <w:t>the</w:t>
      </w:r>
      <w:proofErr w:type="spellEnd"/>
      <w:r w:rsidRPr="00250CC4">
        <w:t xml:space="preserve"> </w:t>
      </w:r>
      <w:proofErr w:type="spellStart"/>
      <w:r w:rsidRPr="00250CC4">
        <w:t>procurement</w:t>
      </w:r>
      <w:proofErr w:type="spellEnd"/>
      <w:r w:rsidRPr="00250CC4">
        <w:t xml:space="preserve"> LUCFI 2015/44/ERAF „</w:t>
      </w:r>
      <w:proofErr w:type="spellStart"/>
      <w:r w:rsidRPr="00250CC4">
        <w:t>T</w:t>
      </w:r>
      <w:r w:rsidRPr="00250CC4">
        <w:rPr>
          <w:color w:val="000000"/>
        </w:rPr>
        <w:t>he</w:t>
      </w:r>
      <w:proofErr w:type="spellEnd"/>
      <w:r w:rsidRPr="00250CC4">
        <w:rPr>
          <w:color w:val="000000"/>
        </w:rPr>
        <w:t xml:space="preserve"> </w:t>
      </w:r>
      <w:proofErr w:type="spellStart"/>
      <w:r w:rsidRPr="00250CC4">
        <w:rPr>
          <w:color w:val="000000"/>
        </w:rPr>
        <w:t>site</w:t>
      </w:r>
      <w:proofErr w:type="spellEnd"/>
      <w:r w:rsidRPr="00250CC4">
        <w:rPr>
          <w:color w:val="000000"/>
        </w:rPr>
        <w:t xml:space="preserve"> </w:t>
      </w:r>
      <w:proofErr w:type="spellStart"/>
      <w:r w:rsidRPr="00250CC4">
        <w:rPr>
          <w:color w:val="000000"/>
        </w:rPr>
        <w:t>licenses</w:t>
      </w:r>
      <w:proofErr w:type="spellEnd"/>
      <w:r w:rsidRPr="00250CC4">
        <w:rPr>
          <w:color w:val="000000"/>
        </w:rPr>
        <w:t xml:space="preserve"> </w:t>
      </w:r>
      <w:proofErr w:type="spellStart"/>
      <w:r w:rsidRPr="00250CC4">
        <w:rPr>
          <w:color w:val="000000"/>
        </w:rPr>
        <w:t>for</w:t>
      </w:r>
      <w:proofErr w:type="spellEnd"/>
      <w:r w:rsidRPr="00250CC4">
        <w:rPr>
          <w:color w:val="000000"/>
        </w:rPr>
        <w:t xml:space="preserve"> </w:t>
      </w:r>
      <w:proofErr w:type="spellStart"/>
      <w:r w:rsidRPr="00250CC4">
        <w:rPr>
          <w:color w:val="000000"/>
        </w:rPr>
        <w:t>on-line</w:t>
      </w:r>
      <w:proofErr w:type="spellEnd"/>
      <w:r w:rsidRPr="00250CC4">
        <w:rPr>
          <w:color w:val="000000"/>
        </w:rPr>
        <w:t xml:space="preserve"> </w:t>
      </w:r>
      <w:proofErr w:type="spellStart"/>
      <w:r w:rsidRPr="00250CC4">
        <w:rPr>
          <w:color w:val="000000"/>
        </w:rPr>
        <w:t>access</w:t>
      </w:r>
      <w:proofErr w:type="spellEnd"/>
      <w:r w:rsidRPr="00250CC4">
        <w:rPr>
          <w:color w:val="000000"/>
        </w:rPr>
        <w:t xml:space="preserve"> to </w:t>
      </w:r>
      <w:proofErr w:type="spellStart"/>
      <w:r w:rsidRPr="00250CC4">
        <w:rPr>
          <w:color w:val="000000"/>
        </w:rPr>
        <w:t>journals</w:t>
      </w:r>
      <w:proofErr w:type="spellEnd"/>
      <w:r w:rsidRPr="00250CC4">
        <w:rPr>
          <w:color w:val="000000"/>
        </w:rPr>
        <w:t xml:space="preserve"> </w:t>
      </w:r>
      <w:proofErr w:type="spellStart"/>
      <w:r w:rsidRPr="00250CC4">
        <w:rPr>
          <w:color w:val="000000"/>
        </w:rPr>
        <w:t>from</w:t>
      </w:r>
      <w:proofErr w:type="spellEnd"/>
      <w:r w:rsidRPr="00250CC4">
        <w:rPr>
          <w:color w:val="000000"/>
        </w:rPr>
        <w:t xml:space="preserve"> </w:t>
      </w:r>
      <w:proofErr w:type="spellStart"/>
      <w:r w:rsidRPr="00250CC4">
        <w:rPr>
          <w:color w:val="000000"/>
        </w:rPr>
        <w:t>publisher</w:t>
      </w:r>
      <w:proofErr w:type="spellEnd"/>
      <w:r w:rsidRPr="00250CC4">
        <w:rPr>
          <w:color w:val="000000"/>
        </w:rPr>
        <w:t xml:space="preserve"> “</w:t>
      </w:r>
      <w:proofErr w:type="spellStart"/>
      <w:r w:rsidRPr="00250CC4">
        <w:rPr>
          <w:color w:val="000000"/>
        </w:rPr>
        <w:t>Nature</w:t>
      </w:r>
      <w:proofErr w:type="spellEnd"/>
      <w:r w:rsidRPr="00250CC4">
        <w:rPr>
          <w:color w:val="000000"/>
        </w:rPr>
        <w:t xml:space="preserve"> </w:t>
      </w:r>
      <w:proofErr w:type="spellStart"/>
      <w:r w:rsidRPr="00250CC4">
        <w:rPr>
          <w:color w:val="000000"/>
        </w:rPr>
        <w:t>Publishing</w:t>
      </w:r>
      <w:proofErr w:type="spellEnd"/>
      <w:r w:rsidRPr="00250CC4">
        <w:rPr>
          <w:color w:val="000000"/>
        </w:rPr>
        <w:t xml:space="preserve"> </w:t>
      </w:r>
      <w:proofErr w:type="spellStart"/>
      <w:r w:rsidRPr="00250CC4">
        <w:rPr>
          <w:color w:val="000000"/>
        </w:rPr>
        <w:t>Group</w:t>
      </w:r>
      <w:proofErr w:type="spellEnd"/>
      <w:r w:rsidRPr="00250CC4">
        <w:rPr>
          <w:color w:val="000000"/>
        </w:rPr>
        <w:t>”</w:t>
      </w:r>
      <w:r w:rsidRPr="00250CC4">
        <w:t xml:space="preserve">” </w:t>
      </w:r>
      <w:proofErr w:type="spellStart"/>
      <w:r w:rsidRPr="00250CC4">
        <w:t>and</w:t>
      </w:r>
      <w:proofErr w:type="spellEnd"/>
      <w:r w:rsidRPr="00250CC4">
        <w:t xml:space="preserve"> </w:t>
      </w:r>
      <w:proofErr w:type="spellStart"/>
      <w:r w:rsidRPr="00250CC4">
        <w:t>hereby</w:t>
      </w:r>
      <w:proofErr w:type="spellEnd"/>
      <w:r w:rsidRPr="00250CC4">
        <w:t xml:space="preserve"> </w:t>
      </w:r>
      <w:proofErr w:type="spellStart"/>
      <w:r w:rsidRPr="00250CC4">
        <w:t>certify</w:t>
      </w:r>
      <w:proofErr w:type="spellEnd"/>
      <w:r w:rsidRPr="00250CC4">
        <w:t xml:space="preserve"> </w:t>
      </w:r>
      <w:proofErr w:type="spellStart"/>
      <w:r w:rsidRPr="00250CC4">
        <w:t>that</w:t>
      </w:r>
      <w:proofErr w:type="spellEnd"/>
      <w:r w:rsidRPr="00250CC4">
        <w:t xml:space="preserve"> </w:t>
      </w:r>
      <w:proofErr w:type="spellStart"/>
      <w:r w:rsidRPr="00250CC4">
        <w:t>all</w:t>
      </w:r>
      <w:proofErr w:type="spellEnd"/>
      <w:r w:rsidRPr="00250CC4">
        <w:t xml:space="preserve"> </w:t>
      </w:r>
      <w:proofErr w:type="spellStart"/>
      <w:r w:rsidRPr="00250CC4">
        <w:t>information</w:t>
      </w:r>
      <w:proofErr w:type="spellEnd"/>
      <w:r w:rsidRPr="00250CC4">
        <w:t xml:space="preserve"> </w:t>
      </w:r>
      <w:proofErr w:type="spellStart"/>
      <w:r w:rsidRPr="00250CC4">
        <w:t>provided</w:t>
      </w:r>
      <w:proofErr w:type="spellEnd"/>
      <w:r w:rsidRPr="00250CC4">
        <w:t xml:space="preserve"> </w:t>
      </w:r>
      <w:proofErr w:type="spellStart"/>
      <w:r w:rsidRPr="00250CC4">
        <w:t>in</w:t>
      </w:r>
      <w:proofErr w:type="spellEnd"/>
      <w:r w:rsidRPr="00250CC4">
        <w:t xml:space="preserve"> </w:t>
      </w:r>
      <w:proofErr w:type="spellStart"/>
      <w:r w:rsidRPr="00250CC4">
        <w:t>the</w:t>
      </w:r>
      <w:proofErr w:type="spellEnd"/>
      <w:r w:rsidRPr="00250CC4">
        <w:t xml:space="preserve"> </w:t>
      </w:r>
      <w:proofErr w:type="spellStart"/>
      <w:r w:rsidRPr="00250CC4">
        <w:t>offer</w:t>
      </w:r>
      <w:proofErr w:type="spellEnd"/>
      <w:r w:rsidRPr="00250CC4">
        <w:t xml:space="preserve"> </w:t>
      </w:r>
      <w:proofErr w:type="spellStart"/>
      <w:r w:rsidRPr="00250CC4">
        <w:t>shall</w:t>
      </w:r>
      <w:proofErr w:type="spellEnd"/>
      <w:r w:rsidRPr="00250CC4">
        <w:t xml:space="preserve"> </w:t>
      </w:r>
      <w:proofErr w:type="spellStart"/>
      <w:r w:rsidRPr="00250CC4">
        <w:t>be</w:t>
      </w:r>
      <w:proofErr w:type="spellEnd"/>
      <w:r w:rsidRPr="00250CC4">
        <w:t xml:space="preserve"> </w:t>
      </w:r>
      <w:proofErr w:type="spellStart"/>
      <w:r w:rsidRPr="00250CC4">
        <w:t>correct</w:t>
      </w:r>
      <w:proofErr w:type="spellEnd"/>
      <w:r w:rsidRPr="00250CC4">
        <w:t>.</w:t>
      </w:r>
    </w:p>
    <w:p w:rsidR="004A1E7A" w:rsidRPr="00250CC4" w:rsidRDefault="004A1E7A" w:rsidP="00D32F0A">
      <w:pPr>
        <w:tabs>
          <w:tab w:val="left" w:pos="855"/>
        </w:tabs>
      </w:pPr>
    </w:p>
    <w:p w:rsidR="00923493" w:rsidRPr="00250CC4" w:rsidRDefault="00923493" w:rsidP="00D32F0A">
      <w:pPr>
        <w:tabs>
          <w:tab w:val="left" w:pos="855"/>
        </w:tabs>
      </w:pPr>
    </w:p>
    <w:p w:rsidR="004A1E7A" w:rsidRPr="00250CC4" w:rsidRDefault="004A1E7A">
      <w:pPr>
        <w:rPr>
          <w:b/>
        </w:rPr>
      </w:pPr>
      <w:r w:rsidRPr="00250CC4">
        <w:rPr>
          <w:b/>
        </w:rPr>
        <w:br w:type="page"/>
      </w:r>
    </w:p>
    <w:p w:rsidR="00923493" w:rsidRPr="00250CC4" w:rsidRDefault="00923493" w:rsidP="00923493">
      <w:pPr>
        <w:jc w:val="center"/>
        <w:rPr>
          <w:b/>
        </w:rPr>
      </w:pPr>
      <w:r w:rsidRPr="00250CC4">
        <w:rPr>
          <w:b/>
        </w:rPr>
        <w:lastRenderedPageBreak/>
        <w:t xml:space="preserve">TEHNISKĀ SPECIFIKĀCIJA UN </w:t>
      </w:r>
    </w:p>
    <w:p w:rsidR="00923493" w:rsidRPr="00250CC4" w:rsidRDefault="00923493" w:rsidP="00923493">
      <w:pPr>
        <w:jc w:val="center"/>
        <w:rPr>
          <w:b/>
        </w:rPr>
      </w:pPr>
      <w:r w:rsidRPr="00250CC4">
        <w:rPr>
          <w:b/>
        </w:rPr>
        <w:t>TEHNISKĀ UN FINANŠU PIEDĀVĀJUMA IESNIEGŠANAS FORMA</w:t>
      </w:r>
    </w:p>
    <w:p w:rsidR="00923493" w:rsidRPr="00250CC4" w:rsidRDefault="00923493" w:rsidP="00A3733D">
      <w:pPr>
        <w:rPr>
          <w:b/>
        </w:rPr>
      </w:pPr>
    </w:p>
    <w:p w:rsidR="00923493" w:rsidRPr="00250CC4" w:rsidRDefault="00B82340" w:rsidP="00F1001B">
      <w:pPr>
        <w:rPr>
          <w:b/>
        </w:rPr>
      </w:pPr>
      <w:r w:rsidRPr="00250CC4">
        <w:rPr>
          <w:rFonts w:eastAsia="Times New Roman"/>
          <w:b/>
          <w:color w:val="000000"/>
        </w:rPr>
        <w:t>Tiešsaistes pieeja “</w:t>
      </w:r>
      <w:proofErr w:type="spellStart"/>
      <w:r w:rsidRPr="00250CC4">
        <w:rPr>
          <w:rFonts w:eastAsia="Times New Roman"/>
          <w:b/>
          <w:color w:val="000000"/>
        </w:rPr>
        <w:t>Nature</w:t>
      </w:r>
      <w:proofErr w:type="spellEnd"/>
      <w:r w:rsidRPr="00250CC4">
        <w:rPr>
          <w:rFonts w:eastAsia="Times New Roman"/>
          <w:b/>
          <w:color w:val="000000"/>
        </w:rPr>
        <w:t xml:space="preserve"> </w:t>
      </w:r>
      <w:proofErr w:type="spellStart"/>
      <w:r w:rsidRPr="00250CC4">
        <w:rPr>
          <w:rFonts w:eastAsia="Times New Roman"/>
          <w:b/>
          <w:color w:val="000000"/>
        </w:rPr>
        <w:t>Publishing</w:t>
      </w:r>
      <w:proofErr w:type="spellEnd"/>
      <w:r w:rsidRPr="00250CC4">
        <w:rPr>
          <w:rFonts w:eastAsia="Times New Roman"/>
          <w:b/>
          <w:color w:val="000000"/>
        </w:rPr>
        <w:t xml:space="preserve"> </w:t>
      </w:r>
      <w:proofErr w:type="spellStart"/>
      <w:r w:rsidRPr="00250CC4">
        <w:rPr>
          <w:rFonts w:eastAsia="Times New Roman"/>
          <w:b/>
          <w:color w:val="000000"/>
        </w:rPr>
        <w:t>Group</w:t>
      </w:r>
      <w:proofErr w:type="spellEnd"/>
      <w:r w:rsidRPr="00250CC4">
        <w:rPr>
          <w:rFonts w:eastAsia="Times New Roman"/>
          <w:b/>
          <w:color w:val="000000"/>
        </w:rPr>
        <w:t>” žurnāliem</w:t>
      </w:r>
    </w:p>
    <w:tbl>
      <w:tblPr>
        <w:tblW w:w="10424"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0"/>
        <w:gridCol w:w="3168"/>
        <w:gridCol w:w="3108"/>
        <w:gridCol w:w="2278"/>
        <w:gridCol w:w="1410"/>
      </w:tblGrid>
      <w:tr w:rsidR="00F14D18" w:rsidRPr="00250CC4" w:rsidTr="00F14D18">
        <w:trPr>
          <w:cantSplit/>
          <w:trHeight w:val="539"/>
        </w:trPr>
        <w:tc>
          <w:tcPr>
            <w:tcW w:w="0" w:type="auto"/>
            <w:shd w:val="clear" w:color="auto" w:fill="auto"/>
          </w:tcPr>
          <w:p w:rsidR="009F0337" w:rsidRPr="00250CC4" w:rsidRDefault="009F0337" w:rsidP="00A3733D">
            <w:pPr>
              <w:jc w:val="center"/>
              <w:rPr>
                <w:b/>
                <w:bCs/>
                <w:color w:val="000000"/>
              </w:rPr>
            </w:pPr>
            <w:r w:rsidRPr="00250CC4">
              <w:rPr>
                <w:b/>
                <w:bCs/>
                <w:color w:val="000000"/>
              </w:rPr>
              <w:t>N. p.k.</w:t>
            </w:r>
            <w:r w:rsidR="00F232E5" w:rsidRPr="00250CC4">
              <w:rPr>
                <w:b/>
                <w:bCs/>
                <w:color w:val="000000"/>
              </w:rPr>
              <w:t xml:space="preserve"> </w:t>
            </w:r>
          </w:p>
          <w:p w:rsidR="00F232E5" w:rsidRPr="00250CC4" w:rsidRDefault="00F232E5" w:rsidP="00A3733D">
            <w:pPr>
              <w:jc w:val="center"/>
              <w:rPr>
                <w:b/>
                <w:bCs/>
                <w:color w:val="000000"/>
              </w:rPr>
            </w:pPr>
          </w:p>
          <w:p w:rsidR="00F232E5" w:rsidRPr="00250CC4" w:rsidRDefault="00F232E5" w:rsidP="00A3733D">
            <w:pPr>
              <w:jc w:val="center"/>
              <w:rPr>
                <w:b/>
                <w:color w:val="000000"/>
              </w:rPr>
            </w:pPr>
            <w:r w:rsidRPr="00250CC4">
              <w:rPr>
                <w:b/>
                <w:bCs/>
                <w:color w:val="000000"/>
              </w:rPr>
              <w:t>No.</w:t>
            </w:r>
          </w:p>
        </w:tc>
        <w:tc>
          <w:tcPr>
            <w:tcW w:w="0" w:type="auto"/>
            <w:shd w:val="clear" w:color="auto" w:fill="auto"/>
          </w:tcPr>
          <w:p w:rsidR="009F0337" w:rsidRPr="00250CC4" w:rsidRDefault="009F0337" w:rsidP="00A3733D">
            <w:pPr>
              <w:pStyle w:val="ListParagraph"/>
              <w:spacing w:after="0" w:line="240" w:lineRule="auto"/>
              <w:ind w:left="0"/>
              <w:jc w:val="center"/>
              <w:rPr>
                <w:rFonts w:ascii="Times New Roman" w:hAnsi="Times New Roman" w:cs="Times New Roman"/>
                <w:b/>
                <w:sz w:val="24"/>
                <w:szCs w:val="24"/>
              </w:rPr>
            </w:pPr>
            <w:r w:rsidRPr="00250CC4">
              <w:rPr>
                <w:rFonts w:ascii="Times New Roman" w:hAnsi="Times New Roman" w:cs="Times New Roman"/>
                <w:b/>
                <w:bCs/>
                <w:color w:val="000000"/>
                <w:sz w:val="24"/>
                <w:szCs w:val="24"/>
                <w:lang w:eastAsia="lv-LV"/>
              </w:rPr>
              <w:t>Pasūtītāja prasības</w:t>
            </w:r>
            <w:r w:rsidRPr="00250CC4">
              <w:rPr>
                <w:rFonts w:ascii="Times New Roman" w:hAnsi="Times New Roman" w:cs="Times New Roman"/>
                <w:b/>
                <w:sz w:val="24"/>
                <w:szCs w:val="24"/>
              </w:rPr>
              <w:t xml:space="preserve"> </w:t>
            </w:r>
          </w:p>
          <w:p w:rsidR="009F0337" w:rsidRPr="00250CC4" w:rsidRDefault="009F0337" w:rsidP="00A3733D">
            <w:pPr>
              <w:pStyle w:val="ListParagraph"/>
              <w:spacing w:after="0" w:line="240" w:lineRule="auto"/>
              <w:ind w:left="0"/>
              <w:jc w:val="center"/>
              <w:rPr>
                <w:rFonts w:ascii="Times New Roman" w:hAnsi="Times New Roman" w:cs="Times New Roman"/>
                <w:b/>
                <w:sz w:val="24"/>
                <w:szCs w:val="24"/>
              </w:rPr>
            </w:pPr>
          </w:p>
        </w:tc>
        <w:tc>
          <w:tcPr>
            <w:tcW w:w="0" w:type="auto"/>
          </w:tcPr>
          <w:p w:rsidR="009F0337" w:rsidRPr="00250CC4" w:rsidRDefault="009F0337" w:rsidP="00A3733D">
            <w:pPr>
              <w:pStyle w:val="ListParagraph"/>
              <w:spacing w:after="0" w:line="240" w:lineRule="auto"/>
              <w:ind w:left="0"/>
              <w:jc w:val="center"/>
              <w:rPr>
                <w:rFonts w:ascii="Times New Roman" w:hAnsi="Times New Roman" w:cs="Times New Roman"/>
                <w:b/>
                <w:bCs/>
                <w:color w:val="000000"/>
                <w:sz w:val="24"/>
                <w:szCs w:val="24"/>
                <w:lang w:eastAsia="lv-LV"/>
              </w:rPr>
            </w:pPr>
            <w:proofErr w:type="spellStart"/>
            <w:r w:rsidRPr="00250CC4">
              <w:rPr>
                <w:rFonts w:ascii="Times New Roman" w:hAnsi="Times New Roman" w:cs="Times New Roman"/>
                <w:b/>
                <w:bCs/>
                <w:color w:val="000000"/>
                <w:sz w:val="24"/>
                <w:szCs w:val="24"/>
                <w:lang w:eastAsia="lv-LV"/>
              </w:rPr>
              <w:t>Requirements</w:t>
            </w:r>
            <w:proofErr w:type="spellEnd"/>
          </w:p>
        </w:tc>
        <w:tc>
          <w:tcPr>
            <w:tcW w:w="2278" w:type="dxa"/>
          </w:tcPr>
          <w:p w:rsidR="00F232E5" w:rsidRPr="00250CC4" w:rsidRDefault="009F0337" w:rsidP="00F232E5">
            <w:pPr>
              <w:pStyle w:val="ListParagraph"/>
              <w:spacing w:after="0" w:line="240" w:lineRule="auto"/>
              <w:ind w:left="0"/>
              <w:jc w:val="center"/>
              <w:rPr>
                <w:rFonts w:ascii="Times New Roman" w:hAnsi="Times New Roman" w:cs="Times New Roman"/>
                <w:b/>
                <w:bCs/>
                <w:color w:val="000000"/>
                <w:sz w:val="24"/>
                <w:szCs w:val="24"/>
                <w:lang w:eastAsia="lv-LV"/>
              </w:rPr>
            </w:pPr>
            <w:r w:rsidRPr="00250CC4">
              <w:rPr>
                <w:rFonts w:ascii="Times New Roman" w:hAnsi="Times New Roman" w:cs="Times New Roman"/>
                <w:b/>
                <w:bCs/>
                <w:color w:val="000000"/>
                <w:sz w:val="24"/>
                <w:szCs w:val="24"/>
                <w:lang w:eastAsia="lv-LV"/>
              </w:rPr>
              <w:t>Pretendenta tehniskais piedāvājums</w:t>
            </w:r>
          </w:p>
          <w:p w:rsidR="009F0337" w:rsidRPr="00250CC4" w:rsidRDefault="009F0337" w:rsidP="00F232E5">
            <w:pPr>
              <w:pStyle w:val="ListParagraph"/>
              <w:spacing w:before="120" w:after="0" w:line="240" w:lineRule="auto"/>
              <w:ind w:left="0"/>
              <w:jc w:val="center"/>
              <w:rPr>
                <w:rFonts w:ascii="Times New Roman" w:hAnsi="Times New Roman" w:cs="Times New Roman"/>
                <w:b/>
                <w:bCs/>
                <w:color w:val="000000"/>
                <w:sz w:val="24"/>
                <w:szCs w:val="24"/>
                <w:lang w:eastAsia="lv-LV"/>
              </w:rPr>
            </w:pPr>
            <w:r w:rsidRPr="00250CC4">
              <w:rPr>
                <w:rFonts w:ascii="Times New Roman" w:hAnsi="Times New Roman" w:cs="Times New Roman"/>
                <w:b/>
                <w:bCs/>
                <w:color w:val="000000"/>
                <w:sz w:val="24"/>
                <w:szCs w:val="24"/>
                <w:lang w:eastAsia="lv-LV"/>
              </w:rPr>
              <w:t xml:space="preserve"> </w:t>
            </w:r>
            <w:proofErr w:type="spellStart"/>
            <w:r w:rsidR="00F232E5" w:rsidRPr="00250CC4">
              <w:rPr>
                <w:rFonts w:ascii="Times New Roman" w:hAnsi="Times New Roman" w:cs="Times New Roman"/>
                <w:b/>
                <w:bCs/>
                <w:color w:val="000000"/>
                <w:sz w:val="24"/>
                <w:szCs w:val="24"/>
                <w:lang w:eastAsia="lv-LV"/>
              </w:rPr>
              <w:t>Applicant`s</w:t>
            </w:r>
            <w:proofErr w:type="spellEnd"/>
            <w:r w:rsidR="00F232E5" w:rsidRPr="00250CC4">
              <w:rPr>
                <w:rFonts w:ascii="Times New Roman" w:hAnsi="Times New Roman" w:cs="Times New Roman"/>
                <w:b/>
                <w:bCs/>
                <w:color w:val="000000"/>
                <w:sz w:val="24"/>
                <w:szCs w:val="24"/>
                <w:lang w:eastAsia="lv-LV"/>
              </w:rPr>
              <w:t xml:space="preserve"> </w:t>
            </w:r>
            <w:proofErr w:type="spellStart"/>
            <w:r w:rsidR="00F232E5" w:rsidRPr="00250CC4">
              <w:rPr>
                <w:rFonts w:ascii="Times New Roman" w:hAnsi="Times New Roman" w:cs="Times New Roman"/>
                <w:b/>
                <w:sz w:val="24"/>
                <w:szCs w:val="24"/>
              </w:rPr>
              <w:t>Technical</w:t>
            </w:r>
            <w:proofErr w:type="spellEnd"/>
            <w:r w:rsidR="00F232E5" w:rsidRPr="00250CC4">
              <w:rPr>
                <w:rFonts w:ascii="Times New Roman" w:hAnsi="Times New Roman" w:cs="Times New Roman"/>
                <w:b/>
                <w:sz w:val="24"/>
                <w:szCs w:val="24"/>
              </w:rPr>
              <w:t xml:space="preserve"> </w:t>
            </w:r>
            <w:proofErr w:type="spellStart"/>
            <w:r w:rsidR="00F232E5" w:rsidRPr="00250CC4">
              <w:rPr>
                <w:rFonts w:ascii="Times New Roman" w:hAnsi="Times New Roman" w:cs="Times New Roman"/>
                <w:b/>
                <w:sz w:val="24"/>
                <w:szCs w:val="24"/>
              </w:rPr>
              <w:t>offer</w:t>
            </w:r>
            <w:proofErr w:type="spellEnd"/>
          </w:p>
        </w:tc>
        <w:tc>
          <w:tcPr>
            <w:tcW w:w="0" w:type="auto"/>
          </w:tcPr>
          <w:p w:rsidR="00F232E5" w:rsidRPr="00250CC4" w:rsidRDefault="009F0337" w:rsidP="000921D3">
            <w:pPr>
              <w:pStyle w:val="ListParagraph"/>
              <w:spacing w:after="0" w:line="240" w:lineRule="auto"/>
              <w:ind w:left="0"/>
              <w:jc w:val="center"/>
              <w:rPr>
                <w:rFonts w:ascii="Times New Roman" w:hAnsi="Times New Roman" w:cs="Times New Roman"/>
                <w:b/>
                <w:bCs/>
                <w:color w:val="000000"/>
                <w:sz w:val="24"/>
                <w:szCs w:val="24"/>
                <w:lang w:eastAsia="lv-LV"/>
              </w:rPr>
            </w:pPr>
            <w:r w:rsidRPr="00250CC4">
              <w:rPr>
                <w:rFonts w:ascii="Times New Roman" w:hAnsi="Times New Roman" w:cs="Times New Roman"/>
                <w:b/>
                <w:bCs/>
                <w:color w:val="000000"/>
                <w:sz w:val="24"/>
                <w:szCs w:val="24"/>
                <w:lang w:eastAsia="lv-LV"/>
              </w:rPr>
              <w:t>Cena bez PVN</w:t>
            </w:r>
            <w:r w:rsidR="00F232E5" w:rsidRPr="00250CC4">
              <w:rPr>
                <w:rFonts w:ascii="Times New Roman" w:hAnsi="Times New Roman" w:cs="Times New Roman"/>
                <w:b/>
                <w:bCs/>
                <w:color w:val="000000"/>
                <w:sz w:val="24"/>
                <w:szCs w:val="24"/>
                <w:lang w:eastAsia="lv-LV"/>
              </w:rPr>
              <w:t xml:space="preserve"> </w:t>
            </w:r>
          </w:p>
          <w:p w:rsidR="00F232E5" w:rsidRPr="00250CC4" w:rsidRDefault="00F232E5" w:rsidP="000921D3">
            <w:pPr>
              <w:pStyle w:val="ListParagraph"/>
              <w:spacing w:after="0" w:line="240" w:lineRule="auto"/>
              <w:ind w:left="0"/>
              <w:jc w:val="center"/>
              <w:rPr>
                <w:rFonts w:ascii="Times New Roman" w:hAnsi="Times New Roman" w:cs="Times New Roman"/>
                <w:b/>
                <w:bCs/>
                <w:color w:val="000000"/>
                <w:sz w:val="24"/>
                <w:szCs w:val="24"/>
                <w:lang w:eastAsia="lv-LV"/>
              </w:rPr>
            </w:pPr>
          </w:p>
          <w:p w:rsidR="009F0337" w:rsidRPr="00250CC4" w:rsidRDefault="00F232E5" w:rsidP="000921D3">
            <w:pPr>
              <w:pStyle w:val="ListParagraph"/>
              <w:spacing w:after="0" w:line="240" w:lineRule="auto"/>
              <w:ind w:left="0"/>
              <w:jc w:val="center"/>
              <w:rPr>
                <w:rFonts w:ascii="Times New Roman" w:hAnsi="Times New Roman" w:cs="Times New Roman"/>
                <w:b/>
                <w:bCs/>
                <w:color w:val="000000"/>
                <w:sz w:val="24"/>
                <w:szCs w:val="24"/>
                <w:lang w:eastAsia="lv-LV"/>
              </w:rPr>
            </w:pPr>
            <w:proofErr w:type="spellStart"/>
            <w:r w:rsidRPr="00250CC4">
              <w:rPr>
                <w:rFonts w:ascii="Times New Roman" w:hAnsi="Times New Roman" w:cs="Times New Roman"/>
                <w:b/>
                <w:bCs/>
                <w:color w:val="000000"/>
                <w:sz w:val="24"/>
                <w:szCs w:val="24"/>
                <w:lang w:eastAsia="lv-LV"/>
              </w:rPr>
              <w:t>Price</w:t>
            </w:r>
            <w:proofErr w:type="spellEnd"/>
            <w:r w:rsidRPr="00250CC4">
              <w:rPr>
                <w:rFonts w:ascii="Times New Roman" w:hAnsi="Times New Roman" w:cs="Times New Roman"/>
                <w:b/>
                <w:bCs/>
                <w:color w:val="000000"/>
                <w:sz w:val="24"/>
                <w:szCs w:val="24"/>
                <w:lang w:eastAsia="lv-LV"/>
              </w:rPr>
              <w:t xml:space="preserve">, VAT </w:t>
            </w:r>
            <w:proofErr w:type="spellStart"/>
            <w:r w:rsidRPr="00250CC4">
              <w:rPr>
                <w:rFonts w:ascii="Times New Roman" w:hAnsi="Times New Roman" w:cs="Times New Roman"/>
                <w:b/>
                <w:bCs/>
                <w:color w:val="000000"/>
                <w:sz w:val="24"/>
                <w:szCs w:val="24"/>
                <w:lang w:eastAsia="lv-LV"/>
              </w:rPr>
              <w:t>excluded</w:t>
            </w:r>
            <w:proofErr w:type="spellEnd"/>
          </w:p>
        </w:tc>
      </w:tr>
      <w:tr w:rsidR="00F14D18" w:rsidRPr="00250CC4" w:rsidTr="00F14D18">
        <w:trPr>
          <w:cantSplit/>
          <w:trHeight w:val="550"/>
        </w:trPr>
        <w:tc>
          <w:tcPr>
            <w:tcW w:w="0" w:type="auto"/>
            <w:shd w:val="clear" w:color="auto" w:fill="auto"/>
          </w:tcPr>
          <w:p w:rsidR="009F0337" w:rsidRPr="00250CC4" w:rsidRDefault="009F0337" w:rsidP="00A3733D">
            <w:pPr>
              <w:rPr>
                <w:color w:val="000000"/>
              </w:rPr>
            </w:pPr>
            <w:r w:rsidRPr="00250CC4">
              <w:rPr>
                <w:color w:val="000000"/>
              </w:rPr>
              <w:t>1</w:t>
            </w:r>
          </w:p>
        </w:tc>
        <w:tc>
          <w:tcPr>
            <w:tcW w:w="0" w:type="auto"/>
            <w:shd w:val="clear" w:color="auto" w:fill="auto"/>
            <w:vAlign w:val="center"/>
          </w:tcPr>
          <w:p w:rsidR="009F0337" w:rsidRPr="00250CC4" w:rsidRDefault="009F0337" w:rsidP="00F14D18">
            <w:pPr>
              <w:rPr>
                <w:color w:val="000000"/>
                <w:sz w:val="22"/>
                <w:szCs w:val="22"/>
              </w:rPr>
            </w:pPr>
            <w:r w:rsidRPr="00250CC4">
              <w:rPr>
                <w:color w:val="000000"/>
                <w:sz w:val="22"/>
                <w:szCs w:val="22"/>
              </w:rPr>
              <w:t>Tiešsaistes pieejas licence (</w:t>
            </w:r>
            <w:proofErr w:type="spellStart"/>
            <w:r w:rsidRPr="00250CC4">
              <w:rPr>
                <w:color w:val="000000"/>
                <w:sz w:val="22"/>
                <w:szCs w:val="22"/>
              </w:rPr>
              <w:t>the</w:t>
            </w:r>
            <w:proofErr w:type="spellEnd"/>
            <w:r w:rsidRPr="00250CC4">
              <w:rPr>
                <w:color w:val="000000"/>
                <w:sz w:val="22"/>
                <w:szCs w:val="22"/>
              </w:rPr>
              <w:t xml:space="preserve"> </w:t>
            </w:r>
            <w:proofErr w:type="spellStart"/>
            <w:r w:rsidRPr="00250CC4">
              <w:rPr>
                <w:color w:val="000000"/>
                <w:sz w:val="22"/>
                <w:szCs w:val="22"/>
              </w:rPr>
              <w:t>site</w:t>
            </w:r>
            <w:proofErr w:type="spellEnd"/>
            <w:r w:rsidRPr="00250CC4">
              <w:rPr>
                <w:color w:val="000000"/>
                <w:sz w:val="22"/>
                <w:szCs w:val="22"/>
              </w:rPr>
              <w:t xml:space="preserve"> </w:t>
            </w:r>
            <w:proofErr w:type="spellStart"/>
            <w:r w:rsidRPr="00250CC4">
              <w:rPr>
                <w:color w:val="000000"/>
                <w:sz w:val="22"/>
                <w:szCs w:val="22"/>
              </w:rPr>
              <w:t>license</w:t>
            </w:r>
            <w:proofErr w:type="spellEnd"/>
            <w:r w:rsidRPr="00250CC4">
              <w:rPr>
                <w:color w:val="000000"/>
                <w:sz w:val="22"/>
                <w:szCs w:val="22"/>
              </w:rPr>
              <w:t xml:space="preserve">) uz </w:t>
            </w:r>
            <w:r w:rsidRPr="00250CC4">
              <w:rPr>
                <w:b/>
                <w:bCs/>
                <w:color w:val="000000"/>
                <w:sz w:val="22"/>
                <w:szCs w:val="22"/>
              </w:rPr>
              <w:t xml:space="preserve">24 mēnešiem </w:t>
            </w:r>
            <w:r w:rsidRPr="00250CC4">
              <w:rPr>
                <w:color w:val="000000"/>
                <w:sz w:val="22"/>
                <w:szCs w:val="22"/>
              </w:rPr>
              <w:t>zinātnisko rakstu žurnāliem</w:t>
            </w:r>
            <w:r w:rsidRPr="00250CC4">
              <w:rPr>
                <w:b/>
                <w:bCs/>
                <w:color w:val="000000"/>
                <w:sz w:val="22"/>
                <w:szCs w:val="22"/>
              </w:rPr>
              <w:t xml:space="preserve"> </w:t>
            </w:r>
            <w:proofErr w:type="spellStart"/>
            <w:r w:rsidRPr="00250CC4">
              <w:rPr>
                <w:b/>
                <w:bCs/>
                <w:color w:val="000000"/>
                <w:sz w:val="22"/>
                <w:szCs w:val="22"/>
              </w:rPr>
              <w:t>Nature</w:t>
            </w:r>
            <w:proofErr w:type="spellEnd"/>
            <w:r w:rsidRPr="00250CC4">
              <w:rPr>
                <w:b/>
                <w:bCs/>
                <w:color w:val="000000"/>
                <w:sz w:val="22"/>
                <w:szCs w:val="22"/>
              </w:rPr>
              <w:t xml:space="preserve"> </w:t>
            </w:r>
            <w:proofErr w:type="spellStart"/>
            <w:r w:rsidRPr="00250CC4">
              <w:rPr>
                <w:b/>
                <w:bCs/>
                <w:color w:val="000000"/>
                <w:sz w:val="22"/>
                <w:szCs w:val="22"/>
              </w:rPr>
              <w:t>Physics</w:t>
            </w:r>
            <w:proofErr w:type="spellEnd"/>
            <w:r w:rsidRPr="00250CC4">
              <w:rPr>
                <w:b/>
                <w:bCs/>
                <w:color w:val="000000"/>
                <w:sz w:val="22"/>
                <w:szCs w:val="22"/>
              </w:rPr>
              <w:t xml:space="preserve"> </w:t>
            </w:r>
            <w:r w:rsidRPr="00250CC4">
              <w:rPr>
                <w:color w:val="000000"/>
                <w:sz w:val="22"/>
                <w:szCs w:val="22"/>
              </w:rPr>
              <w:t>no izdevniecības "</w:t>
            </w:r>
            <w:proofErr w:type="spellStart"/>
            <w:r w:rsidRPr="00250CC4">
              <w:rPr>
                <w:color w:val="000000"/>
                <w:sz w:val="22"/>
                <w:szCs w:val="22"/>
              </w:rPr>
              <w:t>Nature</w:t>
            </w:r>
            <w:proofErr w:type="spellEnd"/>
            <w:r w:rsidRPr="00250CC4">
              <w:rPr>
                <w:color w:val="000000"/>
                <w:sz w:val="22"/>
                <w:szCs w:val="22"/>
              </w:rPr>
              <w:t xml:space="preserve"> </w:t>
            </w:r>
            <w:proofErr w:type="spellStart"/>
            <w:r w:rsidRPr="00250CC4">
              <w:rPr>
                <w:color w:val="000000"/>
                <w:sz w:val="22"/>
                <w:szCs w:val="22"/>
              </w:rPr>
              <w:t>Publishing</w:t>
            </w:r>
            <w:proofErr w:type="spellEnd"/>
            <w:r w:rsidRPr="00250CC4">
              <w:rPr>
                <w:color w:val="000000"/>
                <w:sz w:val="22"/>
                <w:szCs w:val="22"/>
              </w:rPr>
              <w:t xml:space="preserve"> </w:t>
            </w:r>
            <w:proofErr w:type="spellStart"/>
            <w:r w:rsidRPr="00250CC4">
              <w:rPr>
                <w:color w:val="000000"/>
                <w:sz w:val="22"/>
                <w:szCs w:val="22"/>
              </w:rPr>
              <w:t>Group</w:t>
            </w:r>
            <w:proofErr w:type="spellEnd"/>
            <w:r w:rsidRPr="00250CC4">
              <w:rPr>
                <w:color w:val="000000"/>
                <w:sz w:val="22"/>
                <w:szCs w:val="22"/>
              </w:rPr>
              <w:t xml:space="preserve">" (turpmāk - NPG) vai </w:t>
            </w:r>
            <w:r w:rsidR="00F14D18" w:rsidRPr="00250CC4">
              <w:rPr>
                <w:color w:val="000000"/>
                <w:sz w:val="22"/>
                <w:szCs w:val="22"/>
              </w:rPr>
              <w:t>ekvivalenta</w:t>
            </w:r>
          </w:p>
        </w:tc>
        <w:tc>
          <w:tcPr>
            <w:tcW w:w="0" w:type="auto"/>
            <w:vAlign w:val="center"/>
          </w:tcPr>
          <w:p w:rsidR="009F0337" w:rsidRPr="00250CC4" w:rsidRDefault="009F0337" w:rsidP="00F14D18">
            <w:pPr>
              <w:rPr>
                <w:color w:val="000000"/>
                <w:sz w:val="22"/>
                <w:szCs w:val="22"/>
                <w:lang w:val="en-GB"/>
              </w:rPr>
            </w:pPr>
            <w:r w:rsidRPr="00250CC4">
              <w:rPr>
                <w:color w:val="000000"/>
                <w:sz w:val="22"/>
                <w:szCs w:val="22"/>
                <w:lang w:val="en-GB"/>
              </w:rPr>
              <w:t xml:space="preserve">The site license for on-line access for </w:t>
            </w:r>
            <w:r w:rsidRPr="00250CC4">
              <w:rPr>
                <w:b/>
                <w:bCs/>
                <w:color w:val="000000"/>
                <w:sz w:val="22"/>
                <w:szCs w:val="22"/>
                <w:lang w:val="en-GB"/>
              </w:rPr>
              <w:t xml:space="preserve">24 months </w:t>
            </w:r>
            <w:r w:rsidRPr="00250CC4">
              <w:rPr>
                <w:color w:val="000000"/>
                <w:sz w:val="22"/>
                <w:szCs w:val="22"/>
                <w:lang w:val="en-GB"/>
              </w:rPr>
              <w:t xml:space="preserve">to </w:t>
            </w:r>
            <w:r w:rsidRPr="00250CC4">
              <w:rPr>
                <w:b/>
                <w:bCs/>
                <w:color w:val="000000"/>
                <w:sz w:val="22"/>
                <w:szCs w:val="22"/>
                <w:lang w:val="en-GB"/>
              </w:rPr>
              <w:t xml:space="preserve">Nature Physics </w:t>
            </w:r>
            <w:r w:rsidRPr="00250CC4">
              <w:rPr>
                <w:color w:val="000000"/>
                <w:sz w:val="22"/>
                <w:szCs w:val="22"/>
                <w:lang w:val="en-GB"/>
              </w:rPr>
              <w:t xml:space="preserve">scientific journals from publisher "Nature Publishing Group" (further - NPG) or </w:t>
            </w:r>
            <w:r w:rsidR="00F14D18" w:rsidRPr="00250CC4">
              <w:rPr>
                <w:color w:val="000000"/>
                <w:sz w:val="22"/>
                <w:szCs w:val="22"/>
                <w:lang w:val="en-GB"/>
              </w:rPr>
              <w:t>equivalent</w:t>
            </w:r>
          </w:p>
        </w:tc>
        <w:tc>
          <w:tcPr>
            <w:tcW w:w="2278" w:type="dxa"/>
          </w:tcPr>
          <w:p w:rsidR="009F0337" w:rsidRPr="00250CC4" w:rsidRDefault="009F0337" w:rsidP="00A3733D">
            <w:pPr>
              <w:rPr>
                <w:b/>
                <w:bCs/>
                <w:color w:val="000000"/>
              </w:rPr>
            </w:pPr>
          </w:p>
        </w:tc>
        <w:tc>
          <w:tcPr>
            <w:tcW w:w="0" w:type="auto"/>
          </w:tcPr>
          <w:p w:rsidR="009F0337" w:rsidRPr="00250CC4" w:rsidRDefault="009F0337" w:rsidP="00A3733D">
            <w:pPr>
              <w:rPr>
                <w:b/>
                <w:bCs/>
                <w:color w:val="000000"/>
              </w:rPr>
            </w:pPr>
          </w:p>
        </w:tc>
      </w:tr>
      <w:tr w:rsidR="00F14D18" w:rsidRPr="00250CC4" w:rsidTr="00F14D18">
        <w:trPr>
          <w:cantSplit/>
          <w:trHeight w:val="309"/>
        </w:trPr>
        <w:tc>
          <w:tcPr>
            <w:tcW w:w="0" w:type="auto"/>
            <w:shd w:val="clear" w:color="auto" w:fill="auto"/>
          </w:tcPr>
          <w:p w:rsidR="009F0337" w:rsidRPr="00250CC4" w:rsidRDefault="009F0337" w:rsidP="00A3733D">
            <w:pPr>
              <w:rPr>
                <w:color w:val="000000"/>
              </w:rPr>
            </w:pPr>
            <w:r w:rsidRPr="00250CC4">
              <w:rPr>
                <w:color w:val="000000"/>
              </w:rPr>
              <w:t>2</w:t>
            </w:r>
          </w:p>
        </w:tc>
        <w:tc>
          <w:tcPr>
            <w:tcW w:w="0" w:type="auto"/>
            <w:shd w:val="clear" w:color="auto" w:fill="auto"/>
            <w:vAlign w:val="center"/>
          </w:tcPr>
          <w:p w:rsidR="009F0337" w:rsidRPr="00250CC4" w:rsidRDefault="009F0337">
            <w:pPr>
              <w:rPr>
                <w:color w:val="000000"/>
                <w:sz w:val="22"/>
                <w:szCs w:val="22"/>
              </w:rPr>
            </w:pPr>
            <w:r w:rsidRPr="00250CC4">
              <w:rPr>
                <w:color w:val="000000"/>
                <w:sz w:val="22"/>
                <w:szCs w:val="22"/>
              </w:rPr>
              <w:t>Tiešsaistes pieejas licence (</w:t>
            </w:r>
            <w:proofErr w:type="spellStart"/>
            <w:r w:rsidRPr="00250CC4">
              <w:rPr>
                <w:color w:val="000000"/>
                <w:sz w:val="22"/>
                <w:szCs w:val="22"/>
              </w:rPr>
              <w:t>the</w:t>
            </w:r>
            <w:proofErr w:type="spellEnd"/>
            <w:r w:rsidRPr="00250CC4">
              <w:rPr>
                <w:color w:val="000000"/>
                <w:sz w:val="22"/>
                <w:szCs w:val="22"/>
              </w:rPr>
              <w:t xml:space="preserve"> </w:t>
            </w:r>
            <w:proofErr w:type="spellStart"/>
            <w:r w:rsidRPr="00250CC4">
              <w:rPr>
                <w:color w:val="000000"/>
                <w:sz w:val="22"/>
                <w:szCs w:val="22"/>
              </w:rPr>
              <w:t>site</w:t>
            </w:r>
            <w:proofErr w:type="spellEnd"/>
            <w:r w:rsidRPr="00250CC4">
              <w:rPr>
                <w:color w:val="000000"/>
                <w:sz w:val="22"/>
                <w:szCs w:val="22"/>
              </w:rPr>
              <w:t xml:space="preserve"> </w:t>
            </w:r>
            <w:proofErr w:type="spellStart"/>
            <w:r w:rsidRPr="00250CC4">
              <w:rPr>
                <w:color w:val="000000"/>
                <w:sz w:val="22"/>
                <w:szCs w:val="22"/>
              </w:rPr>
              <w:t>license</w:t>
            </w:r>
            <w:proofErr w:type="spellEnd"/>
            <w:r w:rsidRPr="00250CC4">
              <w:rPr>
                <w:color w:val="000000"/>
                <w:sz w:val="22"/>
                <w:szCs w:val="22"/>
              </w:rPr>
              <w:t xml:space="preserve">) uz </w:t>
            </w:r>
            <w:r w:rsidRPr="00250CC4">
              <w:rPr>
                <w:b/>
                <w:bCs/>
                <w:color w:val="000000"/>
                <w:sz w:val="22"/>
                <w:szCs w:val="22"/>
              </w:rPr>
              <w:t xml:space="preserve">24 mēnešiem </w:t>
            </w:r>
            <w:r w:rsidRPr="00250CC4">
              <w:rPr>
                <w:color w:val="000000"/>
                <w:sz w:val="22"/>
                <w:szCs w:val="22"/>
              </w:rPr>
              <w:t xml:space="preserve">zinātnisko rakstu žurnāliem </w:t>
            </w:r>
            <w:proofErr w:type="spellStart"/>
            <w:r w:rsidRPr="00250CC4">
              <w:rPr>
                <w:b/>
                <w:bCs/>
                <w:color w:val="000000"/>
                <w:sz w:val="22"/>
                <w:szCs w:val="22"/>
              </w:rPr>
              <w:t>Nature</w:t>
            </w:r>
            <w:proofErr w:type="spellEnd"/>
            <w:r w:rsidRPr="00250CC4">
              <w:rPr>
                <w:b/>
                <w:bCs/>
                <w:color w:val="000000"/>
                <w:sz w:val="22"/>
                <w:szCs w:val="22"/>
              </w:rPr>
              <w:t xml:space="preserve"> </w:t>
            </w:r>
            <w:proofErr w:type="spellStart"/>
            <w:r w:rsidRPr="00250CC4">
              <w:rPr>
                <w:b/>
                <w:bCs/>
                <w:color w:val="000000"/>
                <w:sz w:val="22"/>
                <w:szCs w:val="22"/>
              </w:rPr>
              <w:t>Nanotechnology</w:t>
            </w:r>
            <w:proofErr w:type="spellEnd"/>
            <w:r w:rsidRPr="00250CC4">
              <w:rPr>
                <w:b/>
                <w:bCs/>
                <w:color w:val="000000"/>
                <w:sz w:val="22"/>
                <w:szCs w:val="22"/>
              </w:rPr>
              <w:t xml:space="preserve"> </w:t>
            </w:r>
            <w:r w:rsidRPr="00250CC4">
              <w:rPr>
                <w:color w:val="000000"/>
                <w:sz w:val="22"/>
                <w:szCs w:val="22"/>
              </w:rPr>
              <w:t xml:space="preserve">no izdevniecības NPG vai </w:t>
            </w:r>
            <w:r w:rsidR="00F14D18" w:rsidRPr="00250CC4">
              <w:rPr>
                <w:color w:val="000000"/>
                <w:sz w:val="22"/>
                <w:szCs w:val="22"/>
              </w:rPr>
              <w:t>ekvivalenta</w:t>
            </w:r>
          </w:p>
        </w:tc>
        <w:tc>
          <w:tcPr>
            <w:tcW w:w="0" w:type="auto"/>
            <w:vAlign w:val="center"/>
          </w:tcPr>
          <w:p w:rsidR="009F0337" w:rsidRPr="00250CC4" w:rsidRDefault="009F0337">
            <w:pPr>
              <w:rPr>
                <w:color w:val="000000"/>
                <w:sz w:val="22"/>
                <w:szCs w:val="22"/>
                <w:lang w:val="en-GB"/>
              </w:rPr>
            </w:pPr>
            <w:r w:rsidRPr="00250CC4">
              <w:rPr>
                <w:color w:val="000000"/>
                <w:sz w:val="22"/>
                <w:szCs w:val="22"/>
                <w:lang w:val="en-GB"/>
              </w:rPr>
              <w:t xml:space="preserve">The site license for on-line access for </w:t>
            </w:r>
            <w:r w:rsidRPr="00250CC4">
              <w:rPr>
                <w:b/>
                <w:bCs/>
                <w:color w:val="000000"/>
                <w:sz w:val="22"/>
                <w:szCs w:val="22"/>
                <w:lang w:val="en-GB"/>
              </w:rPr>
              <w:t>24 months</w:t>
            </w:r>
            <w:r w:rsidRPr="00250CC4">
              <w:rPr>
                <w:color w:val="000000"/>
                <w:sz w:val="22"/>
                <w:szCs w:val="22"/>
                <w:lang w:val="en-GB"/>
              </w:rPr>
              <w:t xml:space="preserve"> to </w:t>
            </w:r>
            <w:r w:rsidRPr="00250CC4">
              <w:rPr>
                <w:b/>
                <w:bCs/>
                <w:color w:val="000000"/>
                <w:sz w:val="22"/>
                <w:szCs w:val="22"/>
                <w:lang w:val="en-GB"/>
              </w:rPr>
              <w:t xml:space="preserve">Nature Nanotechnology </w:t>
            </w:r>
            <w:r w:rsidRPr="00250CC4">
              <w:rPr>
                <w:color w:val="000000"/>
                <w:sz w:val="22"/>
                <w:szCs w:val="22"/>
                <w:lang w:val="en-GB"/>
              </w:rPr>
              <w:t xml:space="preserve"> scientific journals from publisher NPG or </w:t>
            </w:r>
            <w:r w:rsidR="00F14D18" w:rsidRPr="00250CC4">
              <w:rPr>
                <w:color w:val="000000"/>
                <w:sz w:val="22"/>
                <w:szCs w:val="22"/>
                <w:lang w:val="en-GB"/>
              </w:rPr>
              <w:t>equivalent</w:t>
            </w:r>
          </w:p>
        </w:tc>
        <w:tc>
          <w:tcPr>
            <w:tcW w:w="2278" w:type="dxa"/>
          </w:tcPr>
          <w:p w:rsidR="009F0337" w:rsidRPr="00250CC4" w:rsidRDefault="009F0337" w:rsidP="00A3733D">
            <w:pPr>
              <w:ind w:left="40"/>
              <w:jc w:val="both"/>
            </w:pPr>
          </w:p>
        </w:tc>
        <w:tc>
          <w:tcPr>
            <w:tcW w:w="0" w:type="auto"/>
            <w:vAlign w:val="center"/>
          </w:tcPr>
          <w:p w:rsidR="009F0337" w:rsidRPr="00250CC4" w:rsidRDefault="009F0337" w:rsidP="00A3733D">
            <w:pPr>
              <w:ind w:left="40"/>
              <w:jc w:val="center"/>
            </w:pPr>
          </w:p>
        </w:tc>
      </w:tr>
      <w:tr w:rsidR="00F14D18" w:rsidRPr="00250CC4" w:rsidTr="00F14D18">
        <w:trPr>
          <w:cantSplit/>
          <w:trHeight w:val="309"/>
        </w:trPr>
        <w:tc>
          <w:tcPr>
            <w:tcW w:w="0" w:type="auto"/>
            <w:shd w:val="clear" w:color="auto" w:fill="auto"/>
          </w:tcPr>
          <w:p w:rsidR="009F0337" w:rsidRPr="00250CC4" w:rsidRDefault="009F0337" w:rsidP="00A3733D">
            <w:pPr>
              <w:rPr>
                <w:color w:val="000000"/>
              </w:rPr>
            </w:pPr>
            <w:r w:rsidRPr="00250CC4">
              <w:rPr>
                <w:color w:val="000000"/>
              </w:rPr>
              <w:t>3</w:t>
            </w:r>
          </w:p>
        </w:tc>
        <w:tc>
          <w:tcPr>
            <w:tcW w:w="0" w:type="auto"/>
            <w:shd w:val="clear" w:color="auto" w:fill="auto"/>
            <w:vAlign w:val="center"/>
          </w:tcPr>
          <w:p w:rsidR="009F0337" w:rsidRPr="00250CC4" w:rsidRDefault="009F0337">
            <w:pPr>
              <w:rPr>
                <w:color w:val="000000"/>
                <w:sz w:val="22"/>
                <w:szCs w:val="22"/>
              </w:rPr>
            </w:pPr>
            <w:r w:rsidRPr="00250CC4">
              <w:rPr>
                <w:color w:val="000000"/>
                <w:sz w:val="22"/>
                <w:szCs w:val="22"/>
              </w:rPr>
              <w:t>Tiešsaistes pieejas licence (</w:t>
            </w:r>
            <w:proofErr w:type="spellStart"/>
            <w:r w:rsidRPr="00250CC4">
              <w:rPr>
                <w:color w:val="000000"/>
                <w:sz w:val="22"/>
                <w:szCs w:val="22"/>
              </w:rPr>
              <w:t>the</w:t>
            </w:r>
            <w:proofErr w:type="spellEnd"/>
            <w:r w:rsidRPr="00250CC4">
              <w:rPr>
                <w:color w:val="000000"/>
                <w:sz w:val="22"/>
                <w:szCs w:val="22"/>
              </w:rPr>
              <w:t xml:space="preserve"> </w:t>
            </w:r>
            <w:proofErr w:type="spellStart"/>
            <w:r w:rsidRPr="00250CC4">
              <w:rPr>
                <w:color w:val="000000"/>
                <w:sz w:val="22"/>
                <w:szCs w:val="22"/>
              </w:rPr>
              <w:t>site</w:t>
            </w:r>
            <w:proofErr w:type="spellEnd"/>
            <w:r w:rsidRPr="00250CC4">
              <w:rPr>
                <w:color w:val="000000"/>
                <w:sz w:val="22"/>
                <w:szCs w:val="22"/>
              </w:rPr>
              <w:t xml:space="preserve"> </w:t>
            </w:r>
            <w:proofErr w:type="spellStart"/>
            <w:r w:rsidRPr="00250CC4">
              <w:rPr>
                <w:color w:val="000000"/>
                <w:sz w:val="22"/>
                <w:szCs w:val="22"/>
              </w:rPr>
              <w:t>license</w:t>
            </w:r>
            <w:proofErr w:type="spellEnd"/>
            <w:r w:rsidRPr="00250CC4">
              <w:rPr>
                <w:color w:val="000000"/>
                <w:sz w:val="22"/>
                <w:szCs w:val="22"/>
              </w:rPr>
              <w:t xml:space="preserve">) uz </w:t>
            </w:r>
            <w:r w:rsidRPr="00250CC4">
              <w:rPr>
                <w:b/>
                <w:bCs/>
                <w:color w:val="000000"/>
                <w:sz w:val="22"/>
                <w:szCs w:val="22"/>
              </w:rPr>
              <w:t xml:space="preserve">24 mēnešiem </w:t>
            </w:r>
            <w:r w:rsidRPr="00250CC4">
              <w:rPr>
                <w:color w:val="000000"/>
                <w:sz w:val="22"/>
                <w:szCs w:val="22"/>
              </w:rPr>
              <w:t xml:space="preserve">zinātnisko rakstu žurnāliem </w:t>
            </w:r>
            <w:proofErr w:type="spellStart"/>
            <w:r w:rsidRPr="00250CC4">
              <w:rPr>
                <w:b/>
                <w:bCs/>
                <w:color w:val="000000"/>
                <w:sz w:val="22"/>
                <w:szCs w:val="22"/>
              </w:rPr>
              <w:t>Nature</w:t>
            </w:r>
            <w:proofErr w:type="spellEnd"/>
            <w:r w:rsidRPr="00250CC4">
              <w:rPr>
                <w:b/>
                <w:bCs/>
                <w:color w:val="000000"/>
                <w:sz w:val="22"/>
                <w:szCs w:val="22"/>
              </w:rPr>
              <w:t xml:space="preserve"> </w:t>
            </w:r>
            <w:proofErr w:type="spellStart"/>
            <w:r w:rsidRPr="00250CC4">
              <w:rPr>
                <w:b/>
                <w:bCs/>
                <w:color w:val="000000"/>
                <w:sz w:val="22"/>
                <w:szCs w:val="22"/>
              </w:rPr>
              <w:t>Photonics</w:t>
            </w:r>
            <w:proofErr w:type="spellEnd"/>
            <w:r w:rsidRPr="00250CC4">
              <w:rPr>
                <w:b/>
                <w:bCs/>
                <w:color w:val="000000"/>
                <w:sz w:val="22"/>
                <w:szCs w:val="22"/>
              </w:rPr>
              <w:t xml:space="preserve"> </w:t>
            </w:r>
            <w:r w:rsidRPr="00250CC4">
              <w:rPr>
                <w:color w:val="000000"/>
                <w:sz w:val="22"/>
                <w:szCs w:val="22"/>
              </w:rPr>
              <w:t>n</w:t>
            </w:r>
            <w:r w:rsidR="004D4717" w:rsidRPr="00250CC4">
              <w:rPr>
                <w:color w:val="000000"/>
                <w:sz w:val="22"/>
                <w:szCs w:val="22"/>
              </w:rPr>
              <w:t xml:space="preserve">o izdevniecības NPG vai </w:t>
            </w:r>
            <w:r w:rsidR="00F14D18" w:rsidRPr="00250CC4">
              <w:rPr>
                <w:color w:val="000000"/>
                <w:sz w:val="22"/>
                <w:szCs w:val="22"/>
              </w:rPr>
              <w:t>ekvivalenta</w:t>
            </w:r>
          </w:p>
        </w:tc>
        <w:tc>
          <w:tcPr>
            <w:tcW w:w="0" w:type="auto"/>
            <w:vAlign w:val="center"/>
          </w:tcPr>
          <w:p w:rsidR="009F0337" w:rsidRPr="00250CC4" w:rsidRDefault="009F0337">
            <w:pPr>
              <w:rPr>
                <w:color w:val="000000"/>
                <w:sz w:val="22"/>
                <w:szCs w:val="22"/>
                <w:lang w:val="en-GB"/>
              </w:rPr>
            </w:pPr>
            <w:r w:rsidRPr="00250CC4">
              <w:rPr>
                <w:color w:val="000000"/>
                <w:sz w:val="22"/>
                <w:szCs w:val="22"/>
                <w:lang w:val="en-GB"/>
              </w:rPr>
              <w:t xml:space="preserve">The site license for on-line access for </w:t>
            </w:r>
            <w:r w:rsidRPr="00250CC4">
              <w:rPr>
                <w:b/>
                <w:bCs/>
                <w:color w:val="000000"/>
                <w:sz w:val="22"/>
                <w:szCs w:val="22"/>
                <w:lang w:val="en-GB"/>
              </w:rPr>
              <w:t>24 months</w:t>
            </w:r>
            <w:r w:rsidRPr="00250CC4">
              <w:rPr>
                <w:color w:val="000000"/>
                <w:sz w:val="22"/>
                <w:szCs w:val="22"/>
                <w:lang w:val="en-GB"/>
              </w:rPr>
              <w:t xml:space="preserve"> to </w:t>
            </w:r>
            <w:r w:rsidRPr="00250CC4">
              <w:rPr>
                <w:b/>
                <w:bCs/>
                <w:color w:val="000000"/>
                <w:sz w:val="22"/>
                <w:szCs w:val="22"/>
                <w:lang w:val="en-GB"/>
              </w:rPr>
              <w:t xml:space="preserve">Nature Photonics </w:t>
            </w:r>
            <w:r w:rsidRPr="00250CC4">
              <w:rPr>
                <w:color w:val="000000"/>
                <w:sz w:val="22"/>
                <w:szCs w:val="22"/>
                <w:lang w:val="en-GB"/>
              </w:rPr>
              <w:t xml:space="preserve"> scientific journals from publisher NPG or </w:t>
            </w:r>
            <w:r w:rsidR="00F14D18" w:rsidRPr="00250CC4">
              <w:rPr>
                <w:color w:val="000000"/>
                <w:sz w:val="22"/>
                <w:szCs w:val="22"/>
                <w:lang w:val="en-GB"/>
              </w:rPr>
              <w:t>equivalent</w:t>
            </w:r>
          </w:p>
        </w:tc>
        <w:tc>
          <w:tcPr>
            <w:tcW w:w="2278" w:type="dxa"/>
          </w:tcPr>
          <w:p w:rsidR="009F0337" w:rsidRPr="00250CC4" w:rsidRDefault="009F0337" w:rsidP="00A3733D">
            <w:pPr>
              <w:ind w:left="40"/>
              <w:jc w:val="both"/>
            </w:pPr>
          </w:p>
        </w:tc>
        <w:tc>
          <w:tcPr>
            <w:tcW w:w="0" w:type="auto"/>
            <w:vAlign w:val="center"/>
          </w:tcPr>
          <w:p w:rsidR="009F0337" w:rsidRPr="00250CC4" w:rsidRDefault="009F0337" w:rsidP="00A3733D">
            <w:pPr>
              <w:ind w:left="40"/>
              <w:jc w:val="center"/>
            </w:pPr>
          </w:p>
        </w:tc>
      </w:tr>
      <w:tr w:rsidR="00F14D18" w:rsidRPr="00250CC4" w:rsidTr="00F14D18">
        <w:trPr>
          <w:cantSplit/>
          <w:trHeight w:val="309"/>
        </w:trPr>
        <w:tc>
          <w:tcPr>
            <w:tcW w:w="0" w:type="auto"/>
            <w:shd w:val="clear" w:color="auto" w:fill="auto"/>
          </w:tcPr>
          <w:p w:rsidR="009F0337" w:rsidRPr="00250CC4" w:rsidRDefault="009F0337" w:rsidP="00A3733D">
            <w:pPr>
              <w:rPr>
                <w:color w:val="000000"/>
              </w:rPr>
            </w:pPr>
            <w:r w:rsidRPr="00250CC4">
              <w:rPr>
                <w:color w:val="000000"/>
              </w:rPr>
              <w:t>4</w:t>
            </w:r>
          </w:p>
        </w:tc>
        <w:tc>
          <w:tcPr>
            <w:tcW w:w="0" w:type="auto"/>
            <w:shd w:val="clear" w:color="auto" w:fill="auto"/>
            <w:vAlign w:val="center"/>
          </w:tcPr>
          <w:p w:rsidR="009F0337" w:rsidRPr="00250CC4" w:rsidRDefault="009F0337">
            <w:pPr>
              <w:rPr>
                <w:color w:val="000000"/>
                <w:sz w:val="22"/>
                <w:szCs w:val="22"/>
              </w:rPr>
            </w:pPr>
            <w:r w:rsidRPr="00250CC4">
              <w:rPr>
                <w:color w:val="000000"/>
                <w:sz w:val="22"/>
                <w:szCs w:val="22"/>
              </w:rPr>
              <w:t>Tiešsaistes pieejas licence (</w:t>
            </w:r>
            <w:proofErr w:type="spellStart"/>
            <w:r w:rsidRPr="00250CC4">
              <w:rPr>
                <w:color w:val="000000"/>
                <w:sz w:val="22"/>
                <w:szCs w:val="22"/>
              </w:rPr>
              <w:t>the</w:t>
            </w:r>
            <w:proofErr w:type="spellEnd"/>
            <w:r w:rsidRPr="00250CC4">
              <w:rPr>
                <w:color w:val="000000"/>
                <w:sz w:val="22"/>
                <w:szCs w:val="22"/>
              </w:rPr>
              <w:t xml:space="preserve"> </w:t>
            </w:r>
            <w:proofErr w:type="spellStart"/>
            <w:r w:rsidRPr="00250CC4">
              <w:rPr>
                <w:color w:val="000000"/>
                <w:sz w:val="22"/>
                <w:szCs w:val="22"/>
              </w:rPr>
              <w:t>site</w:t>
            </w:r>
            <w:proofErr w:type="spellEnd"/>
            <w:r w:rsidRPr="00250CC4">
              <w:rPr>
                <w:color w:val="000000"/>
                <w:sz w:val="22"/>
                <w:szCs w:val="22"/>
              </w:rPr>
              <w:t xml:space="preserve"> </w:t>
            </w:r>
            <w:proofErr w:type="spellStart"/>
            <w:r w:rsidRPr="00250CC4">
              <w:rPr>
                <w:color w:val="000000"/>
                <w:sz w:val="22"/>
                <w:szCs w:val="22"/>
              </w:rPr>
              <w:t>license</w:t>
            </w:r>
            <w:proofErr w:type="spellEnd"/>
            <w:r w:rsidRPr="00250CC4">
              <w:rPr>
                <w:color w:val="000000"/>
                <w:sz w:val="22"/>
                <w:szCs w:val="22"/>
              </w:rPr>
              <w:t xml:space="preserve">) uz </w:t>
            </w:r>
            <w:r w:rsidRPr="00250CC4">
              <w:rPr>
                <w:b/>
                <w:bCs/>
                <w:color w:val="000000"/>
                <w:sz w:val="22"/>
                <w:szCs w:val="22"/>
              </w:rPr>
              <w:t xml:space="preserve">24 mēnešiem </w:t>
            </w:r>
            <w:r w:rsidRPr="00250CC4">
              <w:rPr>
                <w:color w:val="000000"/>
                <w:sz w:val="22"/>
                <w:szCs w:val="22"/>
              </w:rPr>
              <w:t xml:space="preserve">zinātnisko rakstu žurnāliem </w:t>
            </w:r>
            <w:proofErr w:type="spellStart"/>
            <w:r w:rsidRPr="00250CC4">
              <w:rPr>
                <w:b/>
                <w:bCs/>
                <w:color w:val="000000"/>
                <w:sz w:val="22"/>
                <w:szCs w:val="22"/>
              </w:rPr>
              <w:t>Nature</w:t>
            </w:r>
            <w:proofErr w:type="spellEnd"/>
            <w:r w:rsidRPr="00250CC4">
              <w:rPr>
                <w:b/>
                <w:bCs/>
                <w:color w:val="000000"/>
                <w:sz w:val="22"/>
                <w:szCs w:val="22"/>
              </w:rPr>
              <w:t xml:space="preserve"> </w:t>
            </w:r>
            <w:proofErr w:type="spellStart"/>
            <w:r w:rsidRPr="00250CC4">
              <w:rPr>
                <w:b/>
                <w:bCs/>
                <w:color w:val="000000"/>
                <w:sz w:val="22"/>
                <w:szCs w:val="22"/>
              </w:rPr>
              <w:t>Materials</w:t>
            </w:r>
            <w:proofErr w:type="spellEnd"/>
            <w:r w:rsidRPr="00250CC4">
              <w:rPr>
                <w:b/>
                <w:bCs/>
                <w:color w:val="000000"/>
                <w:sz w:val="22"/>
                <w:szCs w:val="22"/>
              </w:rPr>
              <w:t xml:space="preserve"> </w:t>
            </w:r>
            <w:r w:rsidRPr="00250CC4">
              <w:rPr>
                <w:color w:val="000000"/>
                <w:sz w:val="22"/>
                <w:szCs w:val="22"/>
              </w:rPr>
              <w:t>n</w:t>
            </w:r>
            <w:r w:rsidR="004D4717" w:rsidRPr="00250CC4">
              <w:rPr>
                <w:color w:val="000000"/>
                <w:sz w:val="22"/>
                <w:szCs w:val="22"/>
              </w:rPr>
              <w:t xml:space="preserve">o izdevniecības NPG vai </w:t>
            </w:r>
            <w:r w:rsidR="00F14D18" w:rsidRPr="00250CC4">
              <w:rPr>
                <w:color w:val="000000"/>
                <w:sz w:val="22"/>
                <w:szCs w:val="22"/>
              </w:rPr>
              <w:t>ekvivalenta</w:t>
            </w:r>
          </w:p>
        </w:tc>
        <w:tc>
          <w:tcPr>
            <w:tcW w:w="0" w:type="auto"/>
            <w:vAlign w:val="center"/>
          </w:tcPr>
          <w:p w:rsidR="009F0337" w:rsidRPr="00250CC4" w:rsidRDefault="009F0337">
            <w:pPr>
              <w:rPr>
                <w:color w:val="000000"/>
                <w:sz w:val="22"/>
                <w:szCs w:val="22"/>
                <w:lang w:val="en-GB"/>
              </w:rPr>
            </w:pPr>
            <w:r w:rsidRPr="00250CC4">
              <w:rPr>
                <w:color w:val="000000"/>
                <w:sz w:val="22"/>
                <w:szCs w:val="22"/>
                <w:lang w:val="en-GB"/>
              </w:rPr>
              <w:t xml:space="preserve">The site license for on-line access for </w:t>
            </w:r>
            <w:r w:rsidRPr="00250CC4">
              <w:rPr>
                <w:b/>
                <w:bCs/>
                <w:color w:val="000000"/>
                <w:sz w:val="22"/>
                <w:szCs w:val="22"/>
                <w:lang w:val="en-GB"/>
              </w:rPr>
              <w:t>24 months</w:t>
            </w:r>
            <w:r w:rsidRPr="00250CC4">
              <w:rPr>
                <w:color w:val="000000"/>
                <w:sz w:val="22"/>
                <w:szCs w:val="22"/>
                <w:lang w:val="en-GB"/>
              </w:rPr>
              <w:t xml:space="preserve"> to </w:t>
            </w:r>
            <w:r w:rsidRPr="00250CC4">
              <w:rPr>
                <w:b/>
                <w:bCs/>
                <w:color w:val="000000"/>
                <w:sz w:val="22"/>
                <w:szCs w:val="22"/>
                <w:lang w:val="en-GB"/>
              </w:rPr>
              <w:t xml:space="preserve">Nature Materials </w:t>
            </w:r>
            <w:r w:rsidRPr="00250CC4">
              <w:rPr>
                <w:color w:val="000000"/>
                <w:sz w:val="22"/>
                <w:szCs w:val="22"/>
                <w:lang w:val="en-GB"/>
              </w:rPr>
              <w:t xml:space="preserve"> scientific journals from publisher NPG or </w:t>
            </w:r>
            <w:r w:rsidR="00F14D18" w:rsidRPr="00250CC4">
              <w:rPr>
                <w:color w:val="000000"/>
                <w:sz w:val="22"/>
                <w:szCs w:val="22"/>
                <w:lang w:val="en-GB"/>
              </w:rPr>
              <w:t>equivalent</w:t>
            </w:r>
          </w:p>
        </w:tc>
        <w:tc>
          <w:tcPr>
            <w:tcW w:w="2278" w:type="dxa"/>
          </w:tcPr>
          <w:p w:rsidR="009F0337" w:rsidRPr="00250CC4" w:rsidRDefault="009F0337" w:rsidP="00A3733D">
            <w:pPr>
              <w:ind w:left="40"/>
              <w:jc w:val="both"/>
            </w:pPr>
          </w:p>
        </w:tc>
        <w:tc>
          <w:tcPr>
            <w:tcW w:w="0" w:type="auto"/>
            <w:vAlign w:val="center"/>
          </w:tcPr>
          <w:p w:rsidR="009F0337" w:rsidRPr="00250CC4" w:rsidRDefault="009F0337" w:rsidP="00A3733D">
            <w:pPr>
              <w:ind w:left="40"/>
              <w:jc w:val="center"/>
            </w:pPr>
          </w:p>
        </w:tc>
      </w:tr>
      <w:tr w:rsidR="00F14D18" w:rsidRPr="00250CC4" w:rsidTr="00F14D18">
        <w:trPr>
          <w:cantSplit/>
          <w:trHeight w:val="309"/>
        </w:trPr>
        <w:tc>
          <w:tcPr>
            <w:tcW w:w="0" w:type="auto"/>
            <w:shd w:val="clear" w:color="auto" w:fill="auto"/>
          </w:tcPr>
          <w:p w:rsidR="009F0337" w:rsidRPr="00250CC4" w:rsidRDefault="009F0337" w:rsidP="00A3733D">
            <w:pPr>
              <w:rPr>
                <w:color w:val="000000"/>
              </w:rPr>
            </w:pPr>
            <w:r w:rsidRPr="00250CC4">
              <w:rPr>
                <w:color w:val="000000"/>
              </w:rPr>
              <w:t>5</w:t>
            </w:r>
          </w:p>
        </w:tc>
        <w:tc>
          <w:tcPr>
            <w:tcW w:w="0" w:type="auto"/>
            <w:shd w:val="clear" w:color="auto" w:fill="auto"/>
            <w:vAlign w:val="center"/>
          </w:tcPr>
          <w:p w:rsidR="009F0337" w:rsidRPr="00250CC4" w:rsidRDefault="009F0337" w:rsidP="00C677F7">
            <w:pPr>
              <w:rPr>
                <w:color w:val="000000"/>
                <w:sz w:val="22"/>
                <w:szCs w:val="22"/>
              </w:rPr>
            </w:pPr>
            <w:r w:rsidRPr="00250CC4">
              <w:rPr>
                <w:color w:val="000000"/>
                <w:sz w:val="22"/>
                <w:szCs w:val="22"/>
              </w:rPr>
              <w:t xml:space="preserve">Pirmajiem </w:t>
            </w:r>
            <w:r w:rsidRPr="00250CC4">
              <w:rPr>
                <w:b/>
                <w:bCs/>
                <w:color w:val="000000"/>
                <w:sz w:val="22"/>
                <w:szCs w:val="22"/>
              </w:rPr>
              <w:t xml:space="preserve">12 mēnešiem </w:t>
            </w:r>
            <w:r w:rsidRPr="00250CC4">
              <w:rPr>
                <w:color w:val="000000"/>
                <w:sz w:val="22"/>
                <w:szCs w:val="22"/>
              </w:rPr>
              <w:t xml:space="preserve">papildus nodrošināta </w:t>
            </w:r>
            <w:r w:rsidRPr="00250CC4">
              <w:rPr>
                <w:b/>
                <w:bCs/>
                <w:color w:val="000000"/>
                <w:sz w:val="22"/>
                <w:szCs w:val="22"/>
              </w:rPr>
              <w:t xml:space="preserve">Nature.com </w:t>
            </w:r>
            <w:proofErr w:type="spellStart"/>
            <w:r w:rsidRPr="00250CC4">
              <w:rPr>
                <w:b/>
                <w:bCs/>
                <w:color w:val="000000"/>
                <w:sz w:val="22"/>
                <w:szCs w:val="22"/>
              </w:rPr>
              <w:t>Complete</w:t>
            </w:r>
            <w:proofErr w:type="spellEnd"/>
            <w:r w:rsidRPr="00250CC4">
              <w:rPr>
                <w:b/>
                <w:bCs/>
                <w:color w:val="000000"/>
                <w:sz w:val="22"/>
                <w:szCs w:val="22"/>
              </w:rPr>
              <w:t xml:space="preserve"> </w:t>
            </w:r>
            <w:r w:rsidRPr="00250CC4">
              <w:rPr>
                <w:color w:val="000000"/>
                <w:sz w:val="22"/>
                <w:szCs w:val="22"/>
              </w:rPr>
              <w:t>tiešsaistes pieeja</w:t>
            </w:r>
            <w:r w:rsidR="00C677F7" w:rsidRPr="00250CC4">
              <w:rPr>
                <w:color w:val="000000"/>
                <w:sz w:val="22"/>
                <w:szCs w:val="22"/>
              </w:rPr>
              <w:t xml:space="preserve"> piekļuvei žurnālu Nr. 1-4 pilnai vēsturei un citiem žurnāliem</w:t>
            </w:r>
            <w:r w:rsidRPr="00250CC4">
              <w:rPr>
                <w:color w:val="000000"/>
                <w:sz w:val="22"/>
                <w:szCs w:val="22"/>
              </w:rPr>
              <w:t xml:space="preserve"> no izdevniecības NPG vai </w:t>
            </w:r>
            <w:r w:rsidR="00F14D18" w:rsidRPr="00250CC4">
              <w:rPr>
                <w:color w:val="000000"/>
                <w:sz w:val="22"/>
                <w:szCs w:val="22"/>
              </w:rPr>
              <w:t>ekvivalenta</w:t>
            </w:r>
          </w:p>
        </w:tc>
        <w:tc>
          <w:tcPr>
            <w:tcW w:w="0" w:type="auto"/>
            <w:vAlign w:val="center"/>
          </w:tcPr>
          <w:p w:rsidR="009F0337" w:rsidRPr="00250CC4" w:rsidRDefault="009F0337" w:rsidP="00C677F7">
            <w:pPr>
              <w:rPr>
                <w:color w:val="000000"/>
                <w:sz w:val="22"/>
                <w:szCs w:val="22"/>
                <w:lang w:val="en-GB"/>
              </w:rPr>
            </w:pPr>
            <w:r w:rsidRPr="00250CC4">
              <w:rPr>
                <w:color w:val="000000"/>
                <w:sz w:val="22"/>
                <w:szCs w:val="22"/>
                <w:lang w:val="en-GB"/>
              </w:rPr>
              <w:t xml:space="preserve">In addition for the first </w:t>
            </w:r>
            <w:r w:rsidRPr="00250CC4">
              <w:rPr>
                <w:b/>
                <w:bCs/>
                <w:color w:val="000000"/>
                <w:sz w:val="22"/>
                <w:szCs w:val="22"/>
                <w:lang w:val="en-GB"/>
              </w:rPr>
              <w:t xml:space="preserve">12 months Nature.com Complete </w:t>
            </w:r>
            <w:r w:rsidRPr="00250CC4">
              <w:rPr>
                <w:color w:val="000000"/>
                <w:sz w:val="22"/>
                <w:szCs w:val="22"/>
                <w:lang w:val="en-GB"/>
              </w:rPr>
              <w:t xml:space="preserve">on-line access </w:t>
            </w:r>
            <w:r w:rsidR="00C677F7" w:rsidRPr="00250CC4">
              <w:rPr>
                <w:color w:val="000000"/>
                <w:sz w:val="22"/>
                <w:szCs w:val="22"/>
                <w:lang w:val="en-GB"/>
              </w:rPr>
              <w:t xml:space="preserve">for access to full history of the journals listed in </w:t>
            </w:r>
            <w:proofErr w:type="spellStart"/>
            <w:r w:rsidR="00C677F7" w:rsidRPr="00250CC4">
              <w:rPr>
                <w:color w:val="000000"/>
                <w:sz w:val="22"/>
                <w:szCs w:val="22"/>
                <w:lang w:val="en-GB"/>
              </w:rPr>
              <w:t>Nr</w:t>
            </w:r>
            <w:proofErr w:type="spellEnd"/>
            <w:r w:rsidR="00C677F7" w:rsidRPr="00250CC4">
              <w:rPr>
                <w:color w:val="000000"/>
                <w:sz w:val="22"/>
                <w:szCs w:val="22"/>
                <w:lang w:val="en-GB"/>
              </w:rPr>
              <w:t xml:space="preserve">. 1-4 and to other journals </w:t>
            </w:r>
            <w:r w:rsidRPr="00250CC4">
              <w:rPr>
                <w:color w:val="000000"/>
                <w:sz w:val="22"/>
                <w:szCs w:val="22"/>
                <w:lang w:val="en-GB"/>
              </w:rPr>
              <w:t xml:space="preserve">from publisher NPG or </w:t>
            </w:r>
            <w:r w:rsidR="00F14D18" w:rsidRPr="00250CC4">
              <w:rPr>
                <w:color w:val="000000"/>
                <w:sz w:val="22"/>
                <w:szCs w:val="22"/>
                <w:lang w:val="en-GB"/>
              </w:rPr>
              <w:t>equivalent</w:t>
            </w:r>
          </w:p>
        </w:tc>
        <w:tc>
          <w:tcPr>
            <w:tcW w:w="2278" w:type="dxa"/>
          </w:tcPr>
          <w:p w:rsidR="009F0337" w:rsidRPr="00250CC4" w:rsidRDefault="009F0337" w:rsidP="00A3733D">
            <w:pPr>
              <w:ind w:left="40"/>
              <w:jc w:val="both"/>
            </w:pPr>
          </w:p>
        </w:tc>
        <w:tc>
          <w:tcPr>
            <w:tcW w:w="0" w:type="auto"/>
            <w:vAlign w:val="center"/>
          </w:tcPr>
          <w:p w:rsidR="009F0337" w:rsidRPr="00250CC4" w:rsidRDefault="004D4717" w:rsidP="00F14D18">
            <w:pPr>
              <w:ind w:left="40"/>
              <w:jc w:val="center"/>
              <w:rPr>
                <w:sz w:val="20"/>
                <w:szCs w:val="20"/>
              </w:rPr>
            </w:pPr>
            <w:r w:rsidRPr="00250CC4">
              <w:rPr>
                <w:sz w:val="20"/>
                <w:szCs w:val="20"/>
              </w:rPr>
              <w:t>Norādīt</w:t>
            </w:r>
            <w:r w:rsidR="00F14D18" w:rsidRPr="00250CC4">
              <w:rPr>
                <w:sz w:val="20"/>
                <w:szCs w:val="20"/>
              </w:rPr>
              <w:t>,</w:t>
            </w:r>
            <w:r w:rsidRPr="00250CC4">
              <w:rPr>
                <w:sz w:val="20"/>
                <w:szCs w:val="20"/>
              </w:rPr>
              <w:t xml:space="preserve"> vai iekļauts </w:t>
            </w:r>
            <w:proofErr w:type="spellStart"/>
            <w:r w:rsidR="00F14D18" w:rsidRPr="00250CC4">
              <w:rPr>
                <w:sz w:val="20"/>
                <w:szCs w:val="20"/>
              </w:rPr>
              <w:t>pozī-ciju</w:t>
            </w:r>
            <w:proofErr w:type="spellEnd"/>
            <w:r w:rsidR="00F14D18" w:rsidRPr="00250CC4">
              <w:rPr>
                <w:sz w:val="20"/>
                <w:szCs w:val="20"/>
              </w:rPr>
              <w:t xml:space="preserve"> </w:t>
            </w:r>
            <w:r w:rsidRPr="00250CC4">
              <w:rPr>
                <w:sz w:val="20"/>
                <w:szCs w:val="20"/>
              </w:rPr>
              <w:t xml:space="preserve">Nr. 1-4 cenā / </w:t>
            </w:r>
            <w:proofErr w:type="spellStart"/>
            <w:r w:rsidRPr="00250CC4">
              <w:rPr>
                <w:sz w:val="20"/>
                <w:szCs w:val="20"/>
              </w:rPr>
              <w:t>Indicate</w:t>
            </w:r>
            <w:proofErr w:type="spellEnd"/>
            <w:r w:rsidR="00F14D18" w:rsidRPr="00250CC4">
              <w:rPr>
                <w:sz w:val="20"/>
                <w:szCs w:val="20"/>
              </w:rPr>
              <w:t xml:space="preserve"> </w:t>
            </w:r>
            <w:proofErr w:type="spellStart"/>
            <w:r w:rsidR="00F14D18" w:rsidRPr="00250CC4">
              <w:rPr>
                <w:sz w:val="20"/>
                <w:szCs w:val="20"/>
              </w:rPr>
              <w:t>whether</w:t>
            </w:r>
            <w:proofErr w:type="spellEnd"/>
            <w:r w:rsidRPr="00250CC4">
              <w:rPr>
                <w:sz w:val="20"/>
                <w:szCs w:val="20"/>
              </w:rPr>
              <w:t xml:space="preserve"> </w:t>
            </w:r>
            <w:proofErr w:type="spellStart"/>
            <w:r w:rsidR="00F14D18" w:rsidRPr="00250CC4">
              <w:rPr>
                <w:sz w:val="20"/>
                <w:szCs w:val="20"/>
              </w:rPr>
              <w:t>is</w:t>
            </w:r>
            <w:proofErr w:type="spellEnd"/>
            <w:r w:rsidRPr="00250CC4">
              <w:rPr>
                <w:sz w:val="20"/>
                <w:szCs w:val="20"/>
              </w:rPr>
              <w:t xml:space="preserve"> </w:t>
            </w:r>
            <w:proofErr w:type="spellStart"/>
            <w:r w:rsidRPr="00250CC4">
              <w:rPr>
                <w:sz w:val="20"/>
                <w:szCs w:val="20"/>
              </w:rPr>
              <w:t>included</w:t>
            </w:r>
            <w:proofErr w:type="spellEnd"/>
            <w:r w:rsidRPr="00250CC4">
              <w:rPr>
                <w:sz w:val="20"/>
                <w:szCs w:val="20"/>
              </w:rPr>
              <w:t xml:space="preserve"> </w:t>
            </w:r>
            <w:proofErr w:type="spellStart"/>
            <w:r w:rsidRPr="00250CC4">
              <w:rPr>
                <w:sz w:val="20"/>
                <w:szCs w:val="20"/>
              </w:rPr>
              <w:t>in</w:t>
            </w:r>
            <w:proofErr w:type="spellEnd"/>
            <w:r w:rsidRPr="00250CC4">
              <w:rPr>
                <w:sz w:val="20"/>
                <w:szCs w:val="20"/>
              </w:rPr>
              <w:t xml:space="preserve"> </w:t>
            </w:r>
            <w:proofErr w:type="spellStart"/>
            <w:r w:rsidRPr="00250CC4">
              <w:rPr>
                <w:sz w:val="20"/>
                <w:szCs w:val="20"/>
              </w:rPr>
              <w:t>the</w:t>
            </w:r>
            <w:proofErr w:type="spellEnd"/>
            <w:r w:rsidRPr="00250CC4">
              <w:rPr>
                <w:sz w:val="20"/>
                <w:szCs w:val="20"/>
              </w:rPr>
              <w:t xml:space="preserve"> </w:t>
            </w:r>
            <w:proofErr w:type="spellStart"/>
            <w:r w:rsidRPr="00250CC4">
              <w:rPr>
                <w:sz w:val="20"/>
                <w:szCs w:val="20"/>
              </w:rPr>
              <w:t>price</w:t>
            </w:r>
            <w:proofErr w:type="spellEnd"/>
            <w:r w:rsidRPr="00250CC4">
              <w:rPr>
                <w:sz w:val="20"/>
                <w:szCs w:val="20"/>
              </w:rPr>
              <w:t xml:space="preserve"> </w:t>
            </w:r>
            <w:proofErr w:type="spellStart"/>
            <w:r w:rsidRPr="00250CC4">
              <w:rPr>
                <w:sz w:val="20"/>
                <w:szCs w:val="20"/>
              </w:rPr>
              <w:t>of</w:t>
            </w:r>
            <w:proofErr w:type="spellEnd"/>
            <w:r w:rsidRPr="00250CC4">
              <w:rPr>
                <w:sz w:val="20"/>
                <w:szCs w:val="20"/>
              </w:rPr>
              <w:t xml:space="preserve"> </w:t>
            </w:r>
            <w:r w:rsidR="00F14D18" w:rsidRPr="00250CC4">
              <w:rPr>
                <w:sz w:val="20"/>
                <w:szCs w:val="20"/>
              </w:rPr>
              <w:t>posi</w:t>
            </w:r>
            <w:r w:rsidR="00250CC4" w:rsidRPr="00250CC4">
              <w:rPr>
                <w:sz w:val="20"/>
                <w:szCs w:val="20"/>
              </w:rPr>
              <w:t>-</w:t>
            </w:r>
            <w:proofErr w:type="spellStart"/>
            <w:r w:rsidR="00F14D18" w:rsidRPr="00250CC4">
              <w:rPr>
                <w:sz w:val="20"/>
                <w:szCs w:val="20"/>
              </w:rPr>
              <w:t>tions</w:t>
            </w:r>
            <w:proofErr w:type="spellEnd"/>
            <w:r w:rsidR="00F14D18" w:rsidRPr="00250CC4">
              <w:rPr>
                <w:sz w:val="20"/>
                <w:szCs w:val="20"/>
              </w:rPr>
              <w:t xml:space="preserve"> </w:t>
            </w:r>
            <w:r w:rsidRPr="00250CC4">
              <w:rPr>
                <w:sz w:val="20"/>
                <w:szCs w:val="20"/>
              </w:rPr>
              <w:t>N</w:t>
            </w:r>
            <w:r w:rsidR="00F14D18" w:rsidRPr="00250CC4">
              <w:rPr>
                <w:sz w:val="20"/>
                <w:szCs w:val="20"/>
              </w:rPr>
              <w:t>o</w:t>
            </w:r>
            <w:r w:rsidRPr="00250CC4">
              <w:rPr>
                <w:sz w:val="20"/>
                <w:szCs w:val="20"/>
              </w:rPr>
              <w:t>. 1-4</w:t>
            </w:r>
          </w:p>
        </w:tc>
      </w:tr>
      <w:tr w:rsidR="00F14D18" w:rsidRPr="00250CC4" w:rsidTr="00F14D18">
        <w:trPr>
          <w:cantSplit/>
          <w:trHeight w:val="309"/>
        </w:trPr>
        <w:tc>
          <w:tcPr>
            <w:tcW w:w="0" w:type="auto"/>
            <w:shd w:val="clear" w:color="auto" w:fill="auto"/>
          </w:tcPr>
          <w:p w:rsidR="009F0337" w:rsidRPr="00250CC4" w:rsidRDefault="00013590" w:rsidP="00A3733D">
            <w:pPr>
              <w:rPr>
                <w:color w:val="000000"/>
              </w:rPr>
            </w:pPr>
            <w:r w:rsidRPr="00250CC4">
              <w:rPr>
                <w:color w:val="000000"/>
              </w:rPr>
              <w:t>6</w:t>
            </w:r>
          </w:p>
        </w:tc>
        <w:tc>
          <w:tcPr>
            <w:tcW w:w="0" w:type="auto"/>
            <w:shd w:val="clear" w:color="auto" w:fill="auto"/>
            <w:vAlign w:val="center"/>
          </w:tcPr>
          <w:p w:rsidR="009F0337" w:rsidRPr="00250CC4" w:rsidRDefault="009F0337">
            <w:pPr>
              <w:rPr>
                <w:color w:val="000000"/>
                <w:sz w:val="22"/>
                <w:szCs w:val="22"/>
              </w:rPr>
            </w:pPr>
            <w:r w:rsidRPr="00250CC4">
              <w:rPr>
                <w:color w:val="000000"/>
                <w:sz w:val="22"/>
                <w:szCs w:val="22"/>
              </w:rPr>
              <w:t>Pieeja jānodrošina adrešu laukam vismaz ar 316 IP adresēm, darbinieku skaits institūtā uz 2015. gadu - līdz 250, t.sk. līdz 150 zinātniskie darbinieki. Līdz 2017. gadam darbinieku skaita pieau</w:t>
            </w:r>
            <w:r w:rsidR="00282143" w:rsidRPr="00250CC4">
              <w:rPr>
                <w:color w:val="000000"/>
                <w:sz w:val="22"/>
                <w:szCs w:val="22"/>
              </w:rPr>
              <w:t>gums iespējams līdz 350, t.sk. l</w:t>
            </w:r>
            <w:r w:rsidRPr="00250CC4">
              <w:rPr>
                <w:color w:val="000000"/>
                <w:sz w:val="22"/>
                <w:szCs w:val="22"/>
              </w:rPr>
              <w:t>īdz 230 zinātniskie darbinieki.</w:t>
            </w:r>
            <w:r w:rsidR="00C677F7" w:rsidRPr="00250CC4">
              <w:rPr>
                <w:color w:val="000000"/>
                <w:sz w:val="22"/>
                <w:szCs w:val="22"/>
              </w:rPr>
              <w:t xml:space="preserve"> PLE </w:t>
            </w:r>
            <w:r w:rsidR="00282143" w:rsidRPr="00250CC4">
              <w:rPr>
                <w:color w:val="000000"/>
                <w:sz w:val="22"/>
                <w:szCs w:val="22"/>
              </w:rPr>
              <w:t>(pilna laika ekvivalents) vidēji 50-9</w:t>
            </w:r>
            <w:r w:rsidR="00C677F7" w:rsidRPr="00250CC4">
              <w:rPr>
                <w:color w:val="000000"/>
                <w:sz w:val="22"/>
                <w:szCs w:val="22"/>
              </w:rPr>
              <w:t>0% apmērā no darbinieku skaita.</w:t>
            </w:r>
          </w:p>
        </w:tc>
        <w:tc>
          <w:tcPr>
            <w:tcW w:w="0" w:type="auto"/>
            <w:vAlign w:val="center"/>
          </w:tcPr>
          <w:p w:rsidR="009F0337" w:rsidRPr="00250CC4" w:rsidRDefault="009F0337" w:rsidP="00282143">
            <w:pPr>
              <w:rPr>
                <w:color w:val="000000"/>
                <w:sz w:val="22"/>
                <w:szCs w:val="22"/>
                <w:lang w:val="en-GB"/>
              </w:rPr>
            </w:pPr>
            <w:r w:rsidRPr="00250CC4">
              <w:rPr>
                <w:color w:val="000000"/>
                <w:sz w:val="22"/>
                <w:szCs w:val="22"/>
                <w:lang w:val="en-GB"/>
              </w:rPr>
              <w:t>Access should be granted for address range at least for 316 IP addresses, number of employees in the institute for 2015 - up to 250, including up to 150 scientists. Until 2017 increase of workers up to 350, including up to 230 scientists.</w:t>
            </w:r>
            <w:r w:rsidR="00C677F7" w:rsidRPr="00250CC4">
              <w:rPr>
                <w:color w:val="000000"/>
                <w:sz w:val="22"/>
                <w:szCs w:val="22"/>
                <w:lang w:val="en-GB"/>
              </w:rPr>
              <w:t xml:space="preserve"> FTE </w:t>
            </w:r>
            <w:r w:rsidR="00282143" w:rsidRPr="00250CC4">
              <w:rPr>
                <w:color w:val="000000"/>
                <w:sz w:val="22"/>
                <w:szCs w:val="22"/>
                <w:lang w:val="en-GB"/>
              </w:rPr>
              <w:t xml:space="preserve">(full time equivalent) average </w:t>
            </w:r>
            <w:r w:rsidR="00C677F7" w:rsidRPr="00250CC4">
              <w:rPr>
                <w:color w:val="000000"/>
                <w:sz w:val="22"/>
                <w:szCs w:val="22"/>
                <w:lang w:val="en-GB"/>
              </w:rPr>
              <w:t>between 50-</w:t>
            </w:r>
            <w:r w:rsidR="00282143" w:rsidRPr="00250CC4">
              <w:rPr>
                <w:color w:val="000000"/>
                <w:sz w:val="22"/>
                <w:szCs w:val="22"/>
                <w:lang w:val="en-GB"/>
              </w:rPr>
              <w:t>9</w:t>
            </w:r>
            <w:r w:rsidR="00C677F7" w:rsidRPr="00250CC4">
              <w:rPr>
                <w:color w:val="000000"/>
                <w:sz w:val="22"/>
                <w:szCs w:val="22"/>
                <w:lang w:val="en-GB"/>
              </w:rPr>
              <w:t>0% from number of employees.</w:t>
            </w:r>
          </w:p>
        </w:tc>
        <w:tc>
          <w:tcPr>
            <w:tcW w:w="2278" w:type="dxa"/>
          </w:tcPr>
          <w:p w:rsidR="009F0337" w:rsidRPr="00250CC4" w:rsidRDefault="009F0337" w:rsidP="00A3733D">
            <w:pPr>
              <w:ind w:left="40"/>
              <w:jc w:val="both"/>
            </w:pPr>
          </w:p>
        </w:tc>
        <w:tc>
          <w:tcPr>
            <w:tcW w:w="0" w:type="auto"/>
            <w:vAlign w:val="center"/>
          </w:tcPr>
          <w:p w:rsidR="009F0337" w:rsidRPr="00250CC4" w:rsidRDefault="0072479A" w:rsidP="00A3733D">
            <w:pPr>
              <w:ind w:left="40"/>
              <w:jc w:val="center"/>
            </w:pPr>
            <w:r w:rsidRPr="00250CC4">
              <w:t>X</w:t>
            </w:r>
          </w:p>
        </w:tc>
      </w:tr>
      <w:tr w:rsidR="00F14D18" w:rsidRPr="00250CC4" w:rsidTr="00F14D18">
        <w:trPr>
          <w:cantSplit/>
          <w:trHeight w:val="309"/>
        </w:trPr>
        <w:tc>
          <w:tcPr>
            <w:tcW w:w="0" w:type="auto"/>
            <w:shd w:val="clear" w:color="auto" w:fill="auto"/>
          </w:tcPr>
          <w:p w:rsidR="0072479A" w:rsidRPr="00250CC4" w:rsidRDefault="0072479A" w:rsidP="00A3733D">
            <w:pPr>
              <w:rPr>
                <w:color w:val="000000"/>
              </w:rPr>
            </w:pPr>
            <w:r w:rsidRPr="00250CC4">
              <w:rPr>
                <w:color w:val="000000"/>
              </w:rPr>
              <w:lastRenderedPageBreak/>
              <w:t>7</w:t>
            </w:r>
          </w:p>
        </w:tc>
        <w:tc>
          <w:tcPr>
            <w:tcW w:w="0" w:type="auto"/>
            <w:shd w:val="clear" w:color="auto" w:fill="auto"/>
            <w:vAlign w:val="center"/>
          </w:tcPr>
          <w:p w:rsidR="0072479A" w:rsidRPr="00250CC4" w:rsidRDefault="0072479A">
            <w:pPr>
              <w:rPr>
                <w:color w:val="000000"/>
                <w:sz w:val="22"/>
                <w:szCs w:val="22"/>
              </w:rPr>
            </w:pPr>
            <w:r w:rsidRPr="00250CC4">
              <w:rPr>
                <w:color w:val="000000"/>
                <w:sz w:val="22"/>
                <w:szCs w:val="22"/>
              </w:rPr>
              <w:t>Pieeja jānodrošina 7 kalendāro dienu laikā no Līguma parakstīšanas.</w:t>
            </w:r>
          </w:p>
        </w:tc>
        <w:tc>
          <w:tcPr>
            <w:tcW w:w="0" w:type="auto"/>
            <w:vAlign w:val="center"/>
          </w:tcPr>
          <w:p w:rsidR="0072479A" w:rsidRPr="00250CC4" w:rsidRDefault="0072479A">
            <w:pPr>
              <w:rPr>
                <w:color w:val="000000"/>
                <w:sz w:val="22"/>
                <w:szCs w:val="22"/>
                <w:lang w:val="en-GB"/>
              </w:rPr>
            </w:pPr>
            <w:r w:rsidRPr="00250CC4">
              <w:rPr>
                <w:color w:val="000000"/>
                <w:sz w:val="22"/>
                <w:szCs w:val="22"/>
                <w:lang w:val="en-GB"/>
              </w:rPr>
              <w:t>Access to the online databases should be granted within 7 calendar days from contract signing.</w:t>
            </w:r>
          </w:p>
        </w:tc>
        <w:tc>
          <w:tcPr>
            <w:tcW w:w="2278" w:type="dxa"/>
          </w:tcPr>
          <w:p w:rsidR="0072479A" w:rsidRPr="00250CC4" w:rsidRDefault="0072479A" w:rsidP="00A3733D">
            <w:pPr>
              <w:ind w:left="40"/>
              <w:jc w:val="both"/>
            </w:pPr>
          </w:p>
        </w:tc>
        <w:tc>
          <w:tcPr>
            <w:tcW w:w="0" w:type="auto"/>
            <w:vAlign w:val="center"/>
          </w:tcPr>
          <w:p w:rsidR="0072479A" w:rsidRPr="00250CC4" w:rsidRDefault="0072479A" w:rsidP="00D90CCB">
            <w:pPr>
              <w:ind w:left="40"/>
              <w:jc w:val="center"/>
            </w:pPr>
            <w:r w:rsidRPr="00250CC4">
              <w:t>X</w:t>
            </w:r>
          </w:p>
        </w:tc>
      </w:tr>
      <w:tr w:rsidR="00F14D18" w:rsidRPr="00250CC4" w:rsidTr="00F14D18">
        <w:trPr>
          <w:cantSplit/>
          <w:trHeight w:val="309"/>
        </w:trPr>
        <w:tc>
          <w:tcPr>
            <w:tcW w:w="0" w:type="auto"/>
            <w:shd w:val="clear" w:color="auto" w:fill="auto"/>
          </w:tcPr>
          <w:p w:rsidR="0072479A" w:rsidRPr="00250CC4" w:rsidRDefault="0072479A" w:rsidP="00A3733D">
            <w:pPr>
              <w:rPr>
                <w:color w:val="000000"/>
              </w:rPr>
            </w:pPr>
            <w:r w:rsidRPr="00250CC4">
              <w:rPr>
                <w:color w:val="000000"/>
              </w:rPr>
              <w:t>8</w:t>
            </w:r>
          </w:p>
        </w:tc>
        <w:tc>
          <w:tcPr>
            <w:tcW w:w="0" w:type="auto"/>
            <w:shd w:val="clear" w:color="auto" w:fill="auto"/>
            <w:vAlign w:val="center"/>
          </w:tcPr>
          <w:p w:rsidR="0072479A" w:rsidRPr="00250CC4" w:rsidRDefault="0072479A">
            <w:pPr>
              <w:rPr>
                <w:color w:val="000000"/>
                <w:sz w:val="22"/>
                <w:szCs w:val="22"/>
              </w:rPr>
            </w:pPr>
            <w:r w:rsidRPr="00250CC4">
              <w:rPr>
                <w:color w:val="000000"/>
                <w:sz w:val="22"/>
                <w:szCs w:val="22"/>
              </w:rPr>
              <w:t xml:space="preserve">Pilna apmaksa par licencēm tiek veikta 10 </w:t>
            </w:r>
            <w:r w:rsidR="00C677F7" w:rsidRPr="00250CC4">
              <w:rPr>
                <w:color w:val="000000"/>
                <w:sz w:val="22"/>
                <w:szCs w:val="22"/>
              </w:rPr>
              <w:t xml:space="preserve">kalendāro </w:t>
            </w:r>
            <w:r w:rsidRPr="00250CC4">
              <w:rPr>
                <w:color w:val="000000"/>
                <w:sz w:val="22"/>
                <w:szCs w:val="22"/>
              </w:rPr>
              <w:t>dienu laikā pēc pieejas nodrošināšanas un rēķina saņemšanas.</w:t>
            </w:r>
          </w:p>
        </w:tc>
        <w:tc>
          <w:tcPr>
            <w:tcW w:w="0" w:type="auto"/>
            <w:vAlign w:val="center"/>
          </w:tcPr>
          <w:p w:rsidR="0072479A" w:rsidRPr="00250CC4" w:rsidRDefault="0072479A">
            <w:pPr>
              <w:rPr>
                <w:color w:val="000000"/>
                <w:sz w:val="22"/>
                <w:szCs w:val="22"/>
                <w:lang w:val="en-GB"/>
              </w:rPr>
            </w:pPr>
            <w:r w:rsidRPr="00250CC4">
              <w:rPr>
                <w:color w:val="000000"/>
                <w:sz w:val="22"/>
                <w:szCs w:val="22"/>
                <w:lang w:val="en-GB"/>
              </w:rPr>
              <w:t xml:space="preserve">Full payment shall be made in 10 calendar </w:t>
            </w:r>
            <w:r w:rsidR="002F5DCB" w:rsidRPr="00250CC4">
              <w:rPr>
                <w:color w:val="000000"/>
                <w:sz w:val="22"/>
                <w:szCs w:val="22"/>
                <w:lang w:val="en-GB"/>
              </w:rPr>
              <w:t xml:space="preserve">days </w:t>
            </w:r>
            <w:r w:rsidRPr="00250CC4">
              <w:rPr>
                <w:color w:val="000000"/>
                <w:sz w:val="22"/>
                <w:szCs w:val="22"/>
                <w:lang w:val="en-GB"/>
              </w:rPr>
              <w:t>after granting of the access to the databases and reception of the invoice.</w:t>
            </w:r>
          </w:p>
        </w:tc>
        <w:tc>
          <w:tcPr>
            <w:tcW w:w="2278" w:type="dxa"/>
          </w:tcPr>
          <w:p w:rsidR="0072479A" w:rsidRPr="00250CC4" w:rsidRDefault="0072479A" w:rsidP="00A3733D">
            <w:pPr>
              <w:ind w:left="40"/>
              <w:jc w:val="both"/>
            </w:pPr>
          </w:p>
        </w:tc>
        <w:tc>
          <w:tcPr>
            <w:tcW w:w="0" w:type="auto"/>
            <w:vAlign w:val="center"/>
          </w:tcPr>
          <w:p w:rsidR="0072479A" w:rsidRPr="00250CC4" w:rsidRDefault="0072479A" w:rsidP="00D90CCB">
            <w:pPr>
              <w:ind w:left="40"/>
              <w:jc w:val="center"/>
            </w:pPr>
            <w:r w:rsidRPr="00250CC4">
              <w:t>X</w:t>
            </w:r>
          </w:p>
        </w:tc>
      </w:tr>
      <w:tr w:rsidR="00F14D18" w:rsidRPr="00250CC4" w:rsidTr="00F14D18">
        <w:trPr>
          <w:cantSplit/>
          <w:trHeight w:val="309"/>
        </w:trPr>
        <w:tc>
          <w:tcPr>
            <w:tcW w:w="0" w:type="auto"/>
            <w:shd w:val="clear" w:color="auto" w:fill="auto"/>
          </w:tcPr>
          <w:p w:rsidR="0072479A" w:rsidRPr="00250CC4" w:rsidRDefault="0072479A" w:rsidP="00A3733D">
            <w:pPr>
              <w:rPr>
                <w:color w:val="000000"/>
              </w:rPr>
            </w:pPr>
            <w:r w:rsidRPr="00250CC4">
              <w:rPr>
                <w:color w:val="000000"/>
              </w:rPr>
              <w:t>9</w:t>
            </w:r>
          </w:p>
        </w:tc>
        <w:tc>
          <w:tcPr>
            <w:tcW w:w="0" w:type="auto"/>
            <w:shd w:val="clear" w:color="auto" w:fill="auto"/>
            <w:vAlign w:val="center"/>
          </w:tcPr>
          <w:p w:rsidR="0072479A" w:rsidRPr="00250CC4" w:rsidRDefault="0072479A">
            <w:pPr>
              <w:rPr>
                <w:color w:val="000000"/>
                <w:sz w:val="22"/>
                <w:szCs w:val="22"/>
              </w:rPr>
            </w:pPr>
            <w:r w:rsidRPr="00250CC4">
              <w:rPr>
                <w:color w:val="000000"/>
                <w:sz w:val="22"/>
                <w:szCs w:val="22"/>
              </w:rPr>
              <w:t>Ja tiešsaistes pieeja visām datu bāzēm nav tikusi nodrošināta līdz 2015. gada 28. decembrim, Pasūtītājs ir tiesīgs vienpusēji atkāpties no Līguma izpildes un to pārtraukt bez atlīdzības.</w:t>
            </w:r>
          </w:p>
        </w:tc>
        <w:tc>
          <w:tcPr>
            <w:tcW w:w="0" w:type="auto"/>
            <w:vAlign w:val="center"/>
          </w:tcPr>
          <w:p w:rsidR="0072479A" w:rsidRPr="00250CC4" w:rsidRDefault="0072479A">
            <w:pPr>
              <w:rPr>
                <w:color w:val="000000"/>
                <w:sz w:val="22"/>
                <w:szCs w:val="22"/>
                <w:lang w:val="en-GB"/>
              </w:rPr>
            </w:pPr>
            <w:r w:rsidRPr="00250CC4">
              <w:rPr>
                <w:color w:val="000000"/>
                <w:sz w:val="22"/>
                <w:szCs w:val="22"/>
                <w:lang w:val="en-GB"/>
              </w:rPr>
              <w:t xml:space="preserve">If the access to all databases have not been granted by 28th December, 2015, Purchaser has right to withdraw from the contract </w:t>
            </w:r>
            <w:r w:rsidR="002F5DCB" w:rsidRPr="00250CC4">
              <w:rPr>
                <w:color w:val="000000"/>
                <w:sz w:val="22"/>
                <w:szCs w:val="22"/>
                <w:lang w:val="en-GB"/>
              </w:rPr>
              <w:t>unilaterally</w:t>
            </w:r>
            <w:r w:rsidRPr="00250CC4">
              <w:rPr>
                <w:color w:val="000000"/>
                <w:sz w:val="22"/>
                <w:szCs w:val="22"/>
                <w:lang w:val="en-GB"/>
              </w:rPr>
              <w:t xml:space="preserve"> and cancel it without payment.</w:t>
            </w:r>
          </w:p>
        </w:tc>
        <w:tc>
          <w:tcPr>
            <w:tcW w:w="2278" w:type="dxa"/>
          </w:tcPr>
          <w:p w:rsidR="0072479A" w:rsidRPr="00250CC4" w:rsidRDefault="0072479A" w:rsidP="00A3733D">
            <w:pPr>
              <w:ind w:left="40"/>
              <w:jc w:val="both"/>
            </w:pPr>
          </w:p>
        </w:tc>
        <w:tc>
          <w:tcPr>
            <w:tcW w:w="0" w:type="auto"/>
            <w:vAlign w:val="center"/>
          </w:tcPr>
          <w:p w:rsidR="0072479A" w:rsidRPr="00250CC4" w:rsidRDefault="0072479A" w:rsidP="00D90CCB">
            <w:pPr>
              <w:ind w:left="40"/>
              <w:jc w:val="center"/>
            </w:pPr>
            <w:r w:rsidRPr="00250CC4">
              <w:t>X</w:t>
            </w:r>
          </w:p>
        </w:tc>
      </w:tr>
      <w:tr w:rsidR="00F14D18" w:rsidRPr="00250CC4" w:rsidTr="00F14D18">
        <w:trPr>
          <w:cantSplit/>
          <w:trHeight w:val="309"/>
        </w:trPr>
        <w:tc>
          <w:tcPr>
            <w:tcW w:w="0" w:type="auto"/>
            <w:shd w:val="clear" w:color="auto" w:fill="auto"/>
          </w:tcPr>
          <w:p w:rsidR="0072479A" w:rsidRPr="00250CC4" w:rsidRDefault="0072479A" w:rsidP="00A3733D">
            <w:pPr>
              <w:rPr>
                <w:color w:val="000000"/>
              </w:rPr>
            </w:pPr>
            <w:r w:rsidRPr="00250CC4">
              <w:rPr>
                <w:color w:val="000000"/>
              </w:rPr>
              <w:t>10</w:t>
            </w:r>
          </w:p>
        </w:tc>
        <w:tc>
          <w:tcPr>
            <w:tcW w:w="0" w:type="auto"/>
            <w:shd w:val="clear" w:color="auto" w:fill="auto"/>
            <w:vAlign w:val="center"/>
          </w:tcPr>
          <w:p w:rsidR="0072479A" w:rsidRPr="00250CC4" w:rsidRDefault="0072479A">
            <w:pPr>
              <w:rPr>
                <w:color w:val="000000"/>
                <w:sz w:val="22"/>
                <w:szCs w:val="22"/>
              </w:rPr>
            </w:pPr>
            <w:r w:rsidRPr="00250CC4">
              <w:rPr>
                <w:color w:val="000000"/>
                <w:sz w:val="22"/>
                <w:szCs w:val="22"/>
              </w:rPr>
              <w:t>Pretendentam jāpievieno zinātnisko datu bāžu īpašnieka apliecinājums par Pretendentam piešķirtām tiesībām veikt noteikto pieejas licenču pārdošanu.</w:t>
            </w:r>
          </w:p>
        </w:tc>
        <w:tc>
          <w:tcPr>
            <w:tcW w:w="0" w:type="auto"/>
            <w:vAlign w:val="center"/>
          </w:tcPr>
          <w:p w:rsidR="0072479A" w:rsidRPr="00250CC4" w:rsidRDefault="0072479A">
            <w:pPr>
              <w:rPr>
                <w:color w:val="000000"/>
                <w:sz w:val="22"/>
                <w:szCs w:val="22"/>
                <w:lang w:val="en-GB"/>
              </w:rPr>
            </w:pPr>
            <w:r w:rsidRPr="00250CC4">
              <w:rPr>
                <w:color w:val="000000"/>
                <w:sz w:val="22"/>
                <w:szCs w:val="22"/>
                <w:lang w:val="en-GB"/>
              </w:rPr>
              <w:t>Applicant should provide acknowledgment from the owner of the databases that Applicant has rights to sell the access licences.</w:t>
            </w:r>
          </w:p>
        </w:tc>
        <w:tc>
          <w:tcPr>
            <w:tcW w:w="2278" w:type="dxa"/>
          </w:tcPr>
          <w:p w:rsidR="0072479A" w:rsidRPr="00250CC4" w:rsidRDefault="0072479A" w:rsidP="00A3733D">
            <w:pPr>
              <w:ind w:left="40"/>
              <w:jc w:val="both"/>
            </w:pPr>
          </w:p>
        </w:tc>
        <w:tc>
          <w:tcPr>
            <w:tcW w:w="0" w:type="auto"/>
            <w:vAlign w:val="center"/>
          </w:tcPr>
          <w:p w:rsidR="0072479A" w:rsidRPr="00250CC4" w:rsidRDefault="0072479A" w:rsidP="00D90CCB">
            <w:pPr>
              <w:ind w:left="40"/>
              <w:jc w:val="center"/>
            </w:pPr>
            <w:r w:rsidRPr="00250CC4">
              <w:t>X</w:t>
            </w:r>
          </w:p>
        </w:tc>
      </w:tr>
      <w:tr w:rsidR="00F14D18" w:rsidRPr="00250CC4" w:rsidTr="00F14D18">
        <w:trPr>
          <w:cantSplit/>
          <w:trHeight w:val="330"/>
        </w:trPr>
        <w:tc>
          <w:tcPr>
            <w:tcW w:w="0" w:type="auto"/>
            <w:tcBorders>
              <w:top w:val="single" w:sz="4" w:space="0" w:color="auto"/>
              <w:left w:val="nil"/>
              <w:bottom w:val="nil"/>
              <w:right w:val="nil"/>
            </w:tcBorders>
            <w:shd w:val="clear" w:color="auto" w:fill="auto"/>
          </w:tcPr>
          <w:p w:rsidR="009F0337" w:rsidRPr="00250CC4" w:rsidRDefault="009F0337" w:rsidP="00A3733D">
            <w:pPr>
              <w:jc w:val="right"/>
              <w:rPr>
                <w:color w:val="000000"/>
              </w:rPr>
            </w:pPr>
          </w:p>
        </w:tc>
        <w:tc>
          <w:tcPr>
            <w:tcW w:w="0" w:type="auto"/>
            <w:tcBorders>
              <w:top w:val="single" w:sz="4" w:space="0" w:color="auto"/>
              <w:left w:val="nil"/>
              <w:bottom w:val="nil"/>
              <w:right w:val="nil"/>
            </w:tcBorders>
            <w:shd w:val="clear" w:color="auto" w:fill="auto"/>
          </w:tcPr>
          <w:p w:rsidR="009F0337" w:rsidRPr="00250CC4" w:rsidRDefault="009F0337" w:rsidP="00A3733D">
            <w:pPr>
              <w:jc w:val="right"/>
              <w:rPr>
                <w:rFonts w:eastAsia="Times New Roman"/>
                <w:color w:val="000000"/>
              </w:rPr>
            </w:pPr>
          </w:p>
        </w:tc>
        <w:tc>
          <w:tcPr>
            <w:tcW w:w="0" w:type="auto"/>
            <w:tcBorders>
              <w:top w:val="single" w:sz="4" w:space="0" w:color="auto"/>
              <w:left w:val="nil"/>
              <w:bottom w:val="nil"/>
              <w:right w:val="nil"/>
            </w:tcBorders>
          </w:tcPr>
          <w:p w:rsidR="009F0337" w:rsidRPr="00250CC4" w:rsidRDefault="009F0337" w:rsidP="00A3733D">
            <w:pPr>
              <w:ind w:left="40"/>
              <w:jc w:val="right"/>
            </w:pPr>
          </w:p>
        </w:tc>
        <w:tc>
          <w:tcPr>
            <w:tcW w:w="2278" w:type="dxa"/>
            <w:tcBorders>
              <w:top w:val="single" w:sz="4" w:space="0" w:color="auto"/>
              <w:left w:val="nil"/>
              <w:bottom w:val="nil"/>
              <w:right w:val="single" w:sz="4" w:space="0" w:color="auto"/>
            </w:tcBorders>
          </w:tcPr>
          <w:p w:rsidR="009F0337" w:rsidRPr="00250CC4" w:rsidRDefault="009F0337" w:rsidP="00A3733D">
            <w:pPr>
              <w:ind w:left="40"/>
              <w:jc w:val="right"/>
            </w:pPr>
            <w:r w:rsidRPr="00250CC4">
              <w:t>KOPĀ</w:t>
            </w:r>
            <w:r w:rsidR="00F232E5" w:rsidRPr="00250CC4">
              <w:t xml:space="preserve"> / TOT</w:t>
            </w:r>
            <w:r w:rsidR="004A1E7A" w:rsidRPr="00250CC4">
              <w:t>A</w:t>
            </w:r>
            <w:r w:rsidR="00F232E5" w:rsidRPr="00250CC4">
              <w:t>L</w:t>
            </w:r>
            <w:r w:rsidRPr="00250CC4">
              <w:t>:</w:t>
            </w:r>
          </w:p>
        </w:tc>
        <w:tc>
          <w:tcPr>
            <w:tcW w:w="0" w:type="auto"/>
            <w:tcBorders>
              <w:left w:val="single" w:sz="4" w:space="0" w:color="auto"/>
            </w:tcBorders>
          </w:tcPr>
          <w:p w:rsidR="009F0337" w:rsidRPr="00250CC4" w:rsidRDefault="009F0337" w:rsidP="00A3733D">
            <w:pPr>
              <w:ind w:left="40"/>
              <w:jc w:val="right"/>
            </w:pPr>
          </w:p>
        </w:tc>
      </w:tr>
    </w:tbl>
    <w:p w:rsidR="00F1001B" w:rsidRPr="00250CC4" w:rsidRDefault="00F1001B" w:rsidP="00945BBD">
      <w:pPr>
        <w:ind w:right="-342"/>
      </w:pPr>
    </w:p>
    <w:p w:rsidR="00945BBD" w:rsidRPr="00250CC4" w:rsidRDefault="00945BBD" w:rsidP="00945BBD">
      <w:pPr>
        <w:ind w:right="-342"/>
      </w:pPr>
      <w:r w:rsidRPr="00250CC4">
        <w:t>Amatpersona (pretendenta pilnvarotā persona):</w:t>
      </w:r>
    </w:p>
    <w:p w:rsidR="00945BBD" w:rsidRPr="00250CC4" w:rsidRDefault="00945BBD" w:rsidP="00945BBD">
      <w:pPr>
        <w:ind w:right="-342"/>
      </w:pPr>
    </w:p>
    <w:p w:rsidR="00945BBD" w:rsidRPr="00250CC4" w:rsidRDefault="00945BBD" w:rsidP="00945BBD">
      <w:pPr>
        <w:ind w:right="-342"/>
        <w:rPr>
          <w:sz w:val="22"/>
          <w:szCs w:val="22"/>
        </w:rPr>
      </w:pPr>
      <w:r w:rsidRPr="00250CC4">
        <w:rPr>
          <w:sz w:val="22"/>
          <w:szCs w:val="22"/>
        </w:rPr>
        <w:t>________________________          ___________________               ________________</w:t>
      </w:r>
    </w:p>
    <w:p w:rsidR="00945BBD" w:rsidRPr="00250CC4" w:rsidRDefault="00945BBD" w:rsidP="00945BBD">
      <w:pPr>
        <w:pStyle w:val="CommentText"/>
        <w:ind w:right="-342"/>
        <w:rPr>
          <w:sz w:val="22"/>
          <w:szCs w:val="22"/>
          <w:lang w:val="lv-LV"/>
        </w:rPr>
      </w:pPr>
      <w:r w:rsidRPr="00250CC4">
        <w:rPr>
          <w:sz w:val="22"/>
          <w:szCs w:val="22"/>
          <w:lang w:val="lv-LV"/>
        </w:rPr>
        <w:tab/>
        <w:t xml:space="preserve">  /vārds, uzvārds/ </w:t>
      </w:r>
      <w:r w:rsidRPr="00250CC4">
        <w:rPr>
          <w:sz w:val="22"/>
          <w:szCs w:val="22"/>
          <w:lang w:val="lv-LV"/>
        </w:rPr>
        <w:tab/>
      </w:r>
      <w:r w:rsidRPr="00250CC4">
        <w:rPr>
          <w:sz w:val="22"/>
          <w:szCs w:val="22"/>
          <w:lang w:val="lv-LV"/>
        </w:rPr>
        <w:tab/>
        <w:t xml:space="preserve">        /amats/                   </w:t>
      </w:r>
      <w:r w:rsidRPr="00250CC4">
        <w:rPr>
          <w:sz w:val="22"/>
          <w:szCs w:val="22"/>
          <w:lang w:val="lv-LV"/>
        </w:rPr>
        <w:tab/>
      </w:r>
      <w:r w:rsidRPr="00250CC4">
        <w:rPr>
          <w:sz w:val="22"/>
          <w:szCs w:val="22"/>
          <w:lang w:val="lv-LV"/>
        </w:rPr>
        <w:tab/>
        <w:t>/paraksts/</w:t>
      </w:r>
    </w:p>
    <w:p w:rsidR="00945BBD" w:rsidRPr="00250CC4" w:rsidRDefault="00945BBD" w:rsidP="00945BBD">
      <w:pPr>
        <w:ind w:right="-342"/>
        <w:rPr>
          <w:sz w:val="22"/>
          <w:szCs w:val="22"/>
        </w:rPr>
      </w:pPr>
    </w:p>
    <w:p w:rsidR="00945BBD" w:rsidRPr="00250CC4" w:rsidRDefault="00945BBD" w:rsidP="00945BBD">
      <w:pPr>
        <w:rPr>
          <w:sz w:val="22"/>
          <w:szCs w:val="22"/>
        </w:rPr>
      </w:pPr>
      <w:r w:rsidRPr="00250CC4">
        <w:rPr>
          <w:sz w:val="22"/>
          <w:szCs w:val="22"/>
        </w:rPr>
        <w:t>____________________201</w:t>
      </w:r>
      <w:r w:rsidR="0048566B" w:rsidRPr="00250CC4">
        <w:rPr>
          <w:sz w:val="22"/>
          <w:szCs w:val="22"/>
        </w:rPr>
        <w:t>5</w:t>
      </w:r>
      <w:r w:rsidRPr="00250CC4">
        <w:rPr>
          <w:sz w:val="22"/>
          <w:szCs w:val="22"/>
        </w:rPr>
        <w:t>. gada ___._____________</w:t>
      </w:r>
    </w:p>
    <w:p w:rsidR="00945BBD" w:rsidRPr="00250CC4" w:rsidRDefault="00945BBD" w:rsidP="00945BBD">
      <w:pPr>
        <w:rPr>
          <w:sz w:val="22"/>
          <w:szCs w:val="22"/>
        </w:rPr>
      </w:pPr>
      <w:r w:rsidRPr="00250CC4">
        <w:rPr>
          <w:sz w:val="22"/>
          <w:szCs w:val="22"/>
        </w:rPr>
        <w:t>/sastādīšanas vieta/</w:t>
      </w:r>
    </w:p>
    <w:p w:rsidR="00945BBD" w:rsidRPr="00250CC4" w:rsidRDefault="00945BBD" w:rsidP="00945BBD">
      <w:pPr>
        <w:rPr>
          <w:noProof/>
        </w:rPr>
      </w:pPr>
    </w:p>
    <w:p w:rsidR="004A1E7A" w:rsidRPr="00250CC4" w:rsidRDefault="004A1E7A" w:rsidP="004A1E7A">
      <w:pPr>
        <w:pStyle w:val="Header"/>
        <w:tabs>
          <w:tab w:val="clear" w:pos="4153"/>
          <w:tab w:val="clear" w:pos="8306"/>
        </w:tabs>
        <w:rPr>
          <w:color w:val="000000"/>
        </w:rPr>
      </w:pPr>
    </w:p>
    <w:p w:rsidR="002C53FE" w:rsidRPr="00250CC4" w:rsidRDefault="002C53FE" w:rsidP="004A1E7A">
      <w:pPr>
        <w:pStyle w:val="Header"/>
        <w:tabs>
          <w:tab w:val="clear" w:pos="4153"/>
          <w:tab w:val="clear" w:pos="8306"/>
        </w:tabs>
        <w:rPr>
          <w:color w:val="000000"/>
        </w:rPr>
      </w:pPr>
    </w:p>
    <w:p w:rsidR="004A1E7A" w:rsidRPr="00250CC4" w:rsidRDefault="004A1E7A" w:rsidP="004A1E7A">
      <w:pPr>
        <w:pStyle w:val="Header"/>
        <w:tabs>
          <w:tab w:val="clear" w:pos="4153"/>
          <w:tab w:val="clear" w:pos="8306"/>
        </w:tabs>
        <w:rPr>
          <w:color w:val="000000"/>
        </w:rPr>
      </w:pPr>
      <w:r w:rsidRPr="00250CC4">
        <w:rPr>
          <w:color w:val="000000"/>
        </w:rPr>
        <w:t>The signature of the Applicant’s authorised person:</w:t>
      </w:r>
    </w:p>
    <w:p w:rsidR="004A1E7A" w:rsidRPr="00250CC4" w:rsidRDefault="004A1E7A" w:rsidP="004A1E7A">
      <w:pPr>
        <w:rPr>
          <w:color w:val="000000"/>
          <w:sz w:val="22"/>
          <w:lang w:val="en-GB"/>
        </w:rPr>
      </w:pPr>
    </w:p>
    <w:p w:rsidR="004A1E7A" w:rsidRPr="00250CC4" w:rsidRDefault="004A1E7A" w:rsidP="004A1E7A">
      <w:pPr>
        <w:rPr>
          <w:color w:val="000000"/>
          <w:sz w:val="22"/>
          <w:lang w:val="en-GB"/>
        </w:rPr>
      </w:pPr>
    </w:p>
    <w:p w:rsidR="004A1E7A" w:rsidRPr="00250CC4" w:rsidRDefault="004A1E7A" w:rsidP="004A1E7A">
      <w:pPr>
        <w:rPr>
          <w:color w:val="000000"/>
          <w:sz w:val="22"/>
          <w:lang w:val="en-GB"/>
        </w:rPr>
      </w:pPr>
      <w:r w:rsidRPr="00250CC4">
        <w:rPr>
          <w:color w:val="000000"/>
          <w:sz w:val="22"/>
          <w:lang w:val="en-GB"/>
        </w:rPr>
        <w:t>_____________________             ________________                        _________________</w:t>
      </w:r>
    </w:p>
    <w:p w:rsidR="004A1E7A" w:rsidRPr="00250CC4" w:rsidRDefault="004A1E7A" w:rsidP="004A1E7A">
      <w:pPr>
        <w:pStyle w:val="CommentText"/>
        <w:ind w:firstLine="510"/>
        <w:rPr>
          <w:color w:val="000000"/>
          <w:sz w:val="22"/>
          <w:szCs w:val="24"/>
        </w:rPr>
      </w:pPr>
      <w:r w:rsidRPr="00250CC4">
        <w:rPr>
          <w:color w:val="000000"/>
          <w:sz w:val="22"/>
          <w:szCs w:val="24"/>
        </w:rPr>
        <w:t xml:space="preserve">/Name, surname/ </w:t>
      </w:r>
      <w:r w:rsidRPr="00250CC4">
        <w:rPr>
          <w:color w:val="000000"/>
          <w:sz w:val="22"/>
          <w:szCs w:val="24"/>
        </w:rPr>
        <w:tab/>
      </w:r>
      <w:r w:rsidRPr="00250CC4">
        <w:rPr>
          <w:color w:val="000000"/>
          <w:sz w:val="22"/>
          <w:szCs w:val="24"/>
        </w:rPr>
        <w:tab/>
        <w:t xml:space="preserve">        /Position/  </w:t>
      </w:r>
      <w:r w:rsidRPr="00250CC4">
        <w:rPr>
          <w:color w:val="000000"/>
          <w:sz w:val="22"/>
          <w:szCs w:val="24"/>
        </w:rPr>
        <w:tab/>
      </w:r>
      <w:r w:rsidRPr="00250CC4">
        <w:rPr>
          <w:color w:val="000000"/>
          <w:sz w:val="22"/>
          <w:szCs w:val="24"/>
        </w:rPr>
        <w:tab/>
        <w:t xml:space="preserve"> </w:t>
      </w:r>
      <w:r w:rsidRPr="00250CC4">
        <w:rPr>
          <w:color w:val="000000"/>
          <w:sz w:val="22"/>
          <w:szCs w:val="24"/>
        </w:rPr>
        <w:tab/>
      </w:r>
      <w:r w:rsidRPr="00250CC4">
        <w:rPr>
          <w:color w:val="000000"/>
          <w:sz w:val="22"/>
          <w:szCs w:val="24"/>
        </w:rPr>
        <w:tab/>
        <w:t>/Signature/</w:t>
      </w:r>
    </w:p>
    <w:p w:rsidR="004A1E7A" w:rsidRPr="00250CC4" w:rsidRDefault="004A1E7A" w:rsidP="004A1E7A">
      <w:pPr>
        <w:pStyle w:val="CommentText"/>
        <w:rPr>
          <w:color w:val="000000"/>
          <w:sz w:val="22"/>
          <w:szCs w:val="24"/>
        </w:rPr>
      </w:pPr>
    </w:p>
    <w:p w:rsidR="004A1E7A" w:rsidRPr="00250CC4" w:rsidRDefault="004A1E7A" w:rsidP="004A1E7A">
      <w:pPr>
        <w:rPr>
          <w:color w:val="000000"/>
          <w:sz w:val="22"/>
          <w:lang w:val="en-GB"/>
        </w:rPr>
      </w:pPr>
      <w:r w:rsidRPr="00250CC4">
        <w:rPr>
          <w:color w:val="000000"/>
          <w:sz w:val="22"/>
          <w:lang w:val="en-GB"/>
        </w:rPr>
        <w:t>_________________</w:t>
      </w:r>
      <w:proofErr w:type="gramStart"/>
      <w:r w:rsidRPr="00250CC4">
        <w:rPr>
          <w:color w:val="000000"/>
          <w:sz w:val="22"/>
          <w:lang w:val="en-GB"/>
        </w:rPr>
        <w:t>_ ,</w:t>
      </w:r>
      <w:proofErr w:type="gramEnd"/>
      <w:r w:rsidRPr="00250CC4">
        <w:rPr>
          <w:color w:val="000000"/>
          <w:sz w:val="22"/>
          <w:lang w:val="en-GB"/>
        </w:rPr>
        <w:t xml:space="preserve"> ______________________  2015</w:t>
      </w:r>
    </w:p>
    <w:p w:rsidR="004A1E7A" w:rsidRPr="00250CC4" w:rsidRDefault="004A1E7A" w:rsidP="004A1E7A">
      <w:pPr>
        <w:ind w:firstLine="720"/>
        <w:rPr>
          <w:color w:val="000000"/>
          <w:sz w:val="22"/>
          <w:lang w:val="en-GB"/>
        </w:rPr>
      </w:pPr>
      <w:r w:rsidRPr="00250CC4">
        <w:rPr>
          <w:color w:val="000000"/>
          <w:sz w:val="22"/>
          <w:lang w:val="en-GB"/>
        </w:rPr>
        <w:t>(</w:t>
      </w:r>
      <w:proofErr w:type="gramStart"/>
      <w:r w:rsidRPr="00250CC4">
        <w:rPr>
          <w:color w:val="000000"/>
          <w:sz w:val="22"/>
          <w:lang w:val="en-GB"/>
        </w:rPr>
        <w:t>place</w:t>
      </w:r>
      <w:proofErr w:type="gramEnd"/>
      <w:r w:rsidRPr="00250CC4">
        <w:rPr>
          <w:color w:val="000000"/>
          <w:sz w:val="22"/>
          <w:lang w:val="en-GB"/>
        </w:rPr>
        <w:t>)</w:t>
      </w:r>
      <w:r w:rsidRPr="00250CC4">
        <w:rPr>
          <w:color w:val="000000"/>
          <w:sz w:val="22"/>
          <w:lang w:val="en-GB"/>
        </w:rPr>
        <w:tab/>
      </w:r>
      <w:r w:rsidRPr="00250CC4">
        <w:rPr>
          <w:color w:val="000000"/>
          <w:sz w:val="22"/>
          <w:lang w:val="en-GB"/>
        </w:rPr>
        <w:tab/>
      </w:r>
      <w:r w:rsidRPr="00250CC4">
        <w:rPr>
          <w:color w:val="000000"/>
          <w:sz w:val="22"/>
          <w:lang w:val="en-GB"/>
        </w:rPr>
        <w:tab/>
      </w:r>
      <w:r w:rsidRPr="00250CC4">
        <w:rPr>
          <w:color w:val="000000"/>
          <w:sz w:val="22"/>
          <w:lang w:val="en-GB"/>
        </w:rPr>
        <w:tab/>
        <w:t>(</w:t>
      </w:r>
      <w:proofErr w:type="gramStart"/>
      <w:r w:rsidRPr="00250CC4">
        <w:rPr>
          <w:color w:val="000000"/>
          <w:sz w:val="22"/>
          <w:lang w:val="en-GB"/>
        </w:rPr>
        <w:t>date</w:t>
      </w:r>
      <w:proofErr w:type="gramEnd"/>
      <w:r w:rsidRPr="00250CC4">
        <w:rPr>
          <w:color w:val="000000"/>
          <w:sz w:val="22"/>
          <w:lang w:val="en-GB"/>
        </w:rPr>
        <w:t>)</w:t>
      </w:r>
    </w:p>
    <w:p w:rsidR="00107369" w:rsidRPr="00250CC4" w:rsidRDefault="00DF19AF" w:rsidP="00107369">
      <w:pPr>
        <w:jc w:val="right"/>
        <w:rPr>
          <w:sz w:val="22"/>
          <w:szCs w:val="22"/>
        </w:rPr>
      </w:pPr>
      <w:r w:rsidRPr="00250CC4">
        <w:br w:type="page"/>
      </w:r>
      <w:r w:rsidR="00107369" w:rsidRPr="00250CC4">
        <w:rPr>
          <w:sz w:val="22"/>
          <w:szCs w:val="22"/>
        </w:rPr>
        <w:lastRenderedPageBreak/>
        <w:t xml:space="preserve">3. pielikums / </w:t>
      </w:r>
      <w:proofErr w:type="spellStart"/>
      <w:r w:rsidR="00107369" w:rsidRPr="00250CC4">
        <w:rPr>
          <w:sz w:val="22"/>
          <w:szCs w:val="22"/>
        </w:rPr>
        <w:t>Annex</w:t>
      </w:r>
      <w:proofErr w:type="spellEnd"/>
      <w:r w:rsidR="00107369" w:rsidRPr="00250CC4">
        <w:rPr>
          <w:sz w:val="22"/>
          <w:szCs w:val="22"/>
        </w:rPr>
        <w:t xml:space="preserve"> 3</w:t>
      </w:r>
    </w:p>
    <w:p w:rsidR="00107369" w:rsidRPr="00250CC4" w:rsidRDefault="00107369" w:rsidP="00107369">
      <w:pPr>
        <w:tabs>
          <w:tab w:val="left" w:pos="855"/>
        </w:tabs>
        <w:jc w:val="right"/>
        <w:rPr>
          <w:sz w:val="22"/>
          <w:szCs w:val="22"/>
        </w:rPr>
      </w:pPr>
      <w:r w:rsidRPr="00250CC4">
        <w:rPr>
          <w:sz w:val="22"/>
          <w:szCs w:val="22"/>
        </w:rPr>
        <w:t>iepirkuma LU CFI 2015/44/ERAF „</w:t>
      </w:r>
      <w:r w:rsidRPr="00250CC4">
        <w:rPr>
          <w:color w:val="000000"/>
        </w:rPr>
        <w:t>Tiešsaistes pieejas licences (</w:t>
      </w:r>
      <w:proofErr w:type="spellStart"/>
      <w:r w:rsidRPr="00250CC4">
        <w:rPr>
          <w:color w:val="000000"/>
        </w:rPr>
        <w:t>the</w:t>
      </w:r>
      <w:proofErr w:type="spellEnd"/>
      <w:r w:rsidRPr="00250CC4">
        <w:rPr>
          <w:color w:val="000000"/>
        </w:rPr>
        <w:t xml:space="preserve"> </w:t>
      </w:r>
      <w:proofErr w:type="spellStart"/>
      <w:r w:rsidRPr="00250CC4">
        <w:rPr>
          <w:color w:val="000000"/>
        </w:rPr>
        <w:t>site</w:t>
      </w:r>
      <w:proofErr w:type="spellEnd"/>
      <w:r w:rsidRPr="00250CC4">
        <w:rPr>
          <w:color w:val="000000"/>
        </w:rPr>
        <w:t xml:space="preserve"> </w:t>
      </w:r>
      <w:proofErr w:type="spellStart"/>
      <w:r w:rsidRPr="00250CC4">
        <w:rPr>
          <w:color w:val="000000"/>
        </w:rPr>
        <w:t>licenses</w:t>
      </w:r>
      <w:proofErr w:type="spellEnd"/>
      <w:r w:rsidRPr="00250CC4">
        <w:rPr>
          <w:color w:val="000000"/>
        </w:rPr>
        <w:t>) izdevniecības "</w:t>
      </w:r>
      <w:proofErr w:type="spellStart"/>
      <w:r w:rsidRPr="00250CC4">
        <w:rPr>
          <w:color w:val="000000"/>
        </w:rPr>
        <w:t>Nature</w:t>
      </w:r>
      <w:proofErr w:type="spellEnd"/>
      <w:r w:rsidRPr="00250CC4">
        <w:rPr>
          <w:color w:val="000000"/>
        </w:rPr>
        <w:t xml:space="preserve"> </w:t>
      </w:r>
      <w:proofErr w:type="spellStart"/>
      <w:r w:rsidRPr="00250CC4">
        <w:rPr>
          <w:color w:val="000000"/>
        </w:rPr>
        <w:t>Publishing</w:t>
      </w:r>
      <w:proofErr w:type="spellEnd"/>
      <w:r w:rsidRPr="00250CC4">
        <w:rPr>
          <w:color w:val="000000"/>
        </w:rPr>
        <w:t xml:space="preserve"> </w:t>
      </w:r>
      <w:proofErr w:type="spellStart"/>
      <w:r w:rsidRPr="00250CC4">
        <w:rPr>
          <w:color w:val="000000"/>
        </w:rPr>
        <w:t>Group</w:t>
      </w:r>
      <w:proofErr w:type="spellEnd"/>
      <w:r w:rsidRPr="00250CC4">
        <w:rPr>
          <w:color w:val="000000"/>
        </w:rPr>
        <w:t>" žurnāliem</w:t>
      </w:r>
      <w:r w:rsidRPr="00250CC4">
        <w:rPr>
          <w:sz w:val="22"/>
          <w:szCs w:val="22"/>
        </w:rPr>
        <w:t>” Uzaicinājumam</w:t>
      </w:r>
    </w:p>
    <w:p w:rsidR="00DF19AF" w:rsidRPr="00250CC4" w:rsidRDefault="00DF19AF" w:rsidP="00107369">
      <w:pPr>
        <w:jc w:val="right"/>
        <w:rPr>
          <w:noProof/>
          <w:sz w:val="28"/>
          <w:szCs w:val="28"/>
        </w:rPr>
      </w:pPr>
    </w:p>
    <w:p w:rsidR="00DC6C50" w:rsidRPr="00250CC4" w:rsidRDefault="00DC6C50" w:rsidP="00DF19AF">
      <w:pPr>
        <w:pStyle w:val="Heading2"/>
        <w:jc w:val="center"/>
        <w:rPr>
          <w:noProof/>
          <w:sz w:val="28"/>
          <w:szCs w:val="28"/>
        </w:rPr>
      </w:pPr>
    </w:p>
    <w:p w:rsidR="00DF19AF" w:rsidRPr="00250CC4" w:rsidRDefault="00DF19AF" w:rsidP="00DF19AF">
      <w:pPr>
        <w:pStyle w:val="Heading2"/>
        <w:jc w:val="center"/>
        <w:rPr>
          <w:noProof/>
          <w:sz w:val="28"/>
          <w:szCs w:val="28"/>
        </w:rPr>
      </w:pPr>
      <w:r w:rsidRPr="00250CC4">
        <w:rPr>
          <w:noProof/>
          <w:sz w:val="28"/>
          <w:szCs w:val="28"/>
        </w:rPr>
        <w:t>Līgum</w:t>
      </w:r>
      <w:r w:rsidR="00766CA7" w:rsidRPr="00250CC4">
        <w:rPr>
          <w:noProof/>
          <w:sz w:val="28"/>
          <w:szCs w:val="28"/>
        </w:rPr>
        <w:t>a nosacījumi</w:t>
      </w:r>
      <w:r w:rsidR="00382C03" w:rsidRPr="00250CC4">
        <w:rPr>
          <w:noProof/>
          <w:sz w:val="28"/>
          <w:szCs w:val="28"/>
        </w:rPr>
        <w:t xml:space="preserve"> / Contract Conditions</w:t>
      </w:r>
    </w:p>
    <w:p w:rsidR="00766CA7" w:rsidRPr="00250CC4" w:rsidRDefault="00766CA7" w:rsidP="00766CA7">
      <w:pPr>
        <w:rPr>
          <w:lang w:eastAsia="en-US"/>
        </w:rPr>
      </w:pP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6"/>
        <w:gridCol w:w="4757"/>
        <w:gridCol w:w="4783"/>
      </w:tblGrid>
      <w:tr w:rsidR="00507168" w:rsidRPr="00250CC4" w:rsidTr="00D90CCB">
        <w:trPr>
          <w:trHeight w:val="309"/>
        </w:trPr>
        <w:tc>
          <w:tcPr>
            <w:tcW w:w="0" w:type="auto"/>
            <w:shd w:val="clear" w:color="auto" w:fill="auto"/>
          </w:tcPr>
          <w:p w:rsidR="00507168" w:rsidRPr="00250CC4" w:rsidRDefault="00507168" w:rsidP="00D90CCB">
            <w:pPr>
              <w:rPr>
                <w:color w:val="000000"/>
              </w:rPr>
            </w:pPr>
            <w:r w:rsidRPr="00250CC4">
              <w:rPr>
                <w:color w:val="000000"/>
              </w:rPr>
              <w:t>1</w:t>
            </w:r>
          </w:p>
        </w:tc>
        <w:tc>
          <w:tcPr>
            <w:tcW w:w="0" w:type="auto"/>
            <w:shd w:val="clear" w:color="auto" w:fill="auto"/>
            <w:vAlign w:val="center"/>
          </w:tcPr>
          <w:p w:rsidR="00507168" w:rsidRPr="00250CC4" w:rsidRDefault="00382C03" w:rsidP="00507168">
            <w:pPr>
              <w:rPr>
                <w:color w:val="000000"/>
              </w:rPr>
            </w:pPr>
            <w:r w:rsidRPr="00250CC4">
              <w:rPr>
                <w:color w:val="000000"/>
              </w:rPr>
              <w:t>Līguma priekšmets – t</w:t>
            </w:r>
            <w:r w:rsidR="00507168" w:rsidRPr="00250CC4">
              <w:rPr>
                <w:color w:val="000000"/>
              </w:rPr>
              <w:t>iešsaistes pieejas licences (</w:t>
            </w:r>
            <w:proofErr w:type="spellStart"/>
            <w:r w:rsidR="00507168" w:rsidRPr="00250CC4">
              <w:rPr>
                <w:color w:val="000000"/>
              </w:rPr>
              <w:t>the</w:t>
            </w:r>
            <w:proofErr w:type="spellEnd"/>
            <w:r w:rsidR="00507168" w:rsidRPr="00250CC4">
              <w:rPr>
                <w:color w:val="000000"/>
              </w:rPr>
              <w:t xml:space="preserve"> </w:t>
            </w:r>
            <w:proofErr w:type="spellStart"/>
            <w:r w:rsidR="00507168" w:rsidRPr="00250CC4">
              <w:rPr>
                <w:color w:val="000000"/>
              </w:rPr>
              <w:t>site</w:t>
            </w:r>
            <w:proofErr w:type="spellEnd"/>
            <w:r w:rsidR="00507168" w:rsidRPr="00250CC4">
              <w:rPr>
                <w:color w:val="000000"/>
              </w:rPr>
              <w:t xml:space="preserve"> </w:t>
            </w:r>
            <w:proofErr w:type="spellStart"/>
            <w:r w:rsidR="00507168" w:rsidRPr="00250CC4">
              <w:rPr>
                <w:color w:val="000000"/>
              </w:rPr>
              <w:t>licenses</w:t>
            </w:r>
            <w:proofErr w:type="spellEnd"/>
            <w:r w:rsidR="00507168" w:rsidRPr="00250CC4">
              <w:rPr>
                <w:color w:val="000000"/>
              </w:rPr>
              <w:t>) izdevniecības "</w:t>
            </w:r>
            <w:proofErr w:type="spellStart"/>
            <w:r w:rsidR="00507168" w:rsidRPr="00250CC4">
              <w:rPr>
                <w:color w:val="000000"/>
              </w:rPr>
              <w:t>Nature</w:t>
            </w:r>
            <w:proofErr w:type="spellEnd"/>
            <w:r w:rsidR="00507168" w:rsidRPr="00250CC4">
              <w:rPr>
                <w:color w:val="000000"/>
              </w:rPr>
              <w:t xml:space="preserve"> </w:t>
            </w:r>
            <w:proofErr w:type="spellStart"/>
            <w:r w:rsidR="00507168" w:rsidRPr="00250CC4">
              <w:rPr>
                <w:color w:val="000000"/>
              </w:rPr>
              <w:t>Publishing</w:t>
            </w:r>
            <w:proofErr w:type="spellEnd"/>
            <w:r w:rsidR="00507168" w:rsidRPr="00250CC4">
              <w:rPr>
                <w:color w:val="000000"/>
              </w:rPr>
              <w:t xml:space="preserve"> </w:t>
            </w:r>
            <w:proofErr w:type="spellStart"/>
            <w:r w:rsidR="00507168" w:rsidRPr="00250CC4">
              <w:rPr>
                <w:color w:val="000000"/>
              </w:rPr>
              <w:t>Group</w:t>
            </w:r>
            <w:proofErr w:type="spellEnd"/>
            <w:r w:rsidR="00507168" w:rsidRPr="00250CC4">
              <w:rPr>
                <w:color w:val="000000"/>
              </w:rPr>
              <w:t>" žurnāliem atbilstoši tehniskajai specifikācijai.</w:t>
            </w:r>
          </w:p>
        </w:tc>
        <w:tc>
          <w:tcPr>
            <w:tcW w:w="0" w:type="auto"/>
            <w:vAlign w:val="center"/>
          </w:tcPr>
          <w:p w:rsidR="00507168" w:rsidRPr="00250CC4" w:rsidRDefault="00382C03" w:rsidP="00382C03">
            <w:pPr>
              <w:rPr>
                <w:color w:val="000000"/>
                <w:lang w:val="en-GB"/>
              </w:rPr>
            </w:pPr>
            <w:r w:rsidRPr="00250CC4">
              <w:rPr>
                <w:color w:val="000000"/>
                <w:lang w:val="en-GB"/>
              </w:rPr>
              <w:t>Subject of the Contract – t</w:t>
            </w:r>
            <w:r w:rsidR="00507168" w:rsidRPr="00250CC4">
              <w:rPr>
                <w:color w:val="000000"/>
                <w:lang w:val="en-GB"/>
              </w:rPr>
              <w:t>he site licenses for on-line access to journals from publisher "Nature Publishing Group" in accordance with the Technical Specification.</w:t>
            </w:r>
          </w:p>
        </w:tc>
      </w:tr>
      <w:tr w:rsidR="00766CA7" w:rsidRPr="00250CC4" w:rsidTr="00D90CCB">
        <w:trPr>
          <w:trHeight w:val="309"/>
        </w:trPr>
        <w:tc>
          <w:tcPr>
            <w:tcW w:w="0" w:type="auto"/>
            <w:shd w:val="clear" w:color="auto" w:fill="auto"/>
          </w:tcPr>
          <w:p w:rsidR="00766CA7" w:rsidRPr="00250CC4" w:rsidRDefault="00507168" w:rsidP="00D90CCB">
            <w:pPr>
              <w:rPr>
                <w:color w:val="000000"/>
              </w:rPr>
            </w:pPr>
            <w:r w:rsidRPr="00250CC4">
              <w:rPr>
                <w:color w:val="000000"/>
              </w:rPr>
              <w:t>2</w:t>
            </w:r>
          </w:p>
        </w:tc>
        <w:tc>
          <w:tcPr>
            <w:tcW w:w="0" w:type="auto"/>
            <w:shd w:val="clear" w:color="auto" w:fill="auto"/>
            <w:vAlign w:val="center"/>
          </w:tcPr>
          <w:p w:rsidR="00766CA7" w:rsidRPr="00250CC4" w:rsidRDefault="00766CA7" w:rsidP="00D90CCB">
            <w:pPr>
              <w:rPr>
                <w:color w:val="000000"/>
              </w:rPr>
            </w:pPr>
            <w:r w:rsidRPr="00250CC4">
              <w:rPr>
                <w:color w:val="000000"/>
              </w:rPr>
              <w:t>Pieeja jānodrošina adrešu laukam vismaz ar 316 IP adresēm, darbinieku skaits institūtā uz 2015. gadu - līdz 250, t.sk. līdz 150 zinātniskie darbinieki. Līdz 2017. gadam darbinieku skaita pieaugums iespējams līdz 350, t.sk. Līdz 230 zinātniskie darbinieki.</w:t>
            </w:r>
            <w:r w:rsidR="00282143" w:rsidRPr="00250CC4">
              <w:rPr>
                <w:color w:val="000000"/>
              </w:rPr>
              <w:t xml:space="preserve"> PLE (pilna laika ekvivalents) vidēji 50-90% apmērā no darbinieku skaita.</w:t>
            </w:r>
          </w:p>
        </w:tc>
        <w:tc>
          <w:tcPr>
            <w:tcW w:w="0" w:type="auto"/>
            <w:vAlign w:val="center"/>
          </w:tcPr>
          <w:p w:rsidR="00766CA7" w:rsidRPr="00250CC4" w:rsidRDefault="00766CA7" w:rsidP="00D90CCB">
            <w:pPr>
              <w:rPr>
                <w:color w:val="000000"/>
                <w:lang w:val="en-GB"/>
              </w:rPr>
            </w:pPr>
            <w:r w:rsidRPr="00250CC4">
              <w:rPr>
                <w:color w:val="000000"/>
                <w:lang w:val="en-GB"/>
              </w:rPr>
              <w:t>Access should be granted for address range at least for 316 IP addresses, number of employees in the institute for 2015 - up to 250, including up to 150 scientists. Until 2017 increase of workers up to 350, including up to 230 scientists.</w:t>
            </w:r>
            <w:r w:rsidR="00282143" w:rsidRPr="00250CC4">
              <w:rPr>
                <w:color w:val="000000"/>
                <w:lang w:val="en-GB"/>
              </w:rPr>
              <w:t xml:space="preserve"> FTE (full time equivalent) average between 50-90% from number of employees.</w:t>
            </w:r>
          </w:p>
        </w:tc>
      </w:tr>
      <w:tr w:rsidR="00766CA7" w:rsidRPr="00250CC4" w:rsidTr="00D90CCB">
        <w:trPr>
          <w:trHeight w:val="309"/>
        </w:trPr>
        <w:tc>
          <w:tcPr>
            <w:tcW w:w="0" w:type="auto"/>
            <w:shd w:val="clear" w:color="auto" w:fill="auto"/>
          </w:tcPr>
          <w:p w:rsidR="00766CA7" w:rsidRPr="00250CC4" w:rsidRDefault="00507168" w:rsidP="00D90CCB">
            <w:pPr>
              <w:rPr>
                <w:color w:val="000000"/>
              </w:rPr>
            </w:pPr>
            <w:r w:rsidRPr="00250CC4">
              <w:rPr>
                <w:color w:val="000000"/>
              </w:rPr>
              <w:t>3</w:t>
            </w:r>
          </w:p>
        </w:tc>
        <w:tc>
          <w:tcPr>
            <w:tcW w:w="0" w:type="auto"/>
            <w:shd w:val="clear" w:color="auto" w:fill="auto"/>
            <w:vAlign w:val="center"/>
          </w:tcPr>
          <w:p w:rsidR="00766CA7" w:rsidRPr="00250CC4" w:rsidRDefault="00766CA7" w:rsidP="00D90CCB">
            <w:pPr>
              <w:rPr>
                <w:color w:val="000000"/>
              </w:rPr>
            </w:pPr>
            <w:r w:rsidRPr="00250CC4">
              <w:rPr>
                <w:color w:val="000000"/>
              </w:rPr>
              <w:t>Pieeja jānodrošina 7 kalendāro dienu laikā no Līguma parakstīšanas.</w:t>
            </w:r>
          </w:p>
        </w:tc>
        <w:tc>
          <w:tcPr>
            <w:tcW w:w="0" w:type="auto"/>
            <w:vAlign w:val="center"/>
          </w:tcPr>
          <w:p w:rsidR="00766CA7" w:rsidRPr="00250CC4" w:rsidRDefault="00766CA7" w:rsidP="00D90CCB">
            <w:pPr>
              <w:rPr>
                <w:color w:val="000000"/>
                <w:lang w:val="en-GB"/>
              </w:rPr>
            </w:pPr>
            <w:r w:rsidRPr="00250CC4">
              <w:rPr>
                <w:color w:val="000000"/>
                <w:lang w:val="en-GB"/>
              </w:rPr>
              <w:t>Access to the online databases should be granted within 7 calendar days from contract signing.</w:t>
            </w:r>
          </w:p>
        </w:tc>
      </w:tr>
      <w:tr w:rsidR="00766CA7" w:rsidRPr="00250CC4" w:rsidTr="00D90CCB">
        <w:trPr>
          <w:trHeight w:val="309"/>
        </w:trPr>
        <w:tc>
          <w:tcPr>
            <w:tcW w:w="0" w:type="auto"/>
            <w:shd w:val="clear" w:color="auto" w:fill="auto"/>
          </w:tcPr>
          <w:p w:rsidR="00766CA7" w:rsidRPr="00250CC4" w:rsidRDefault="00507168" w:rsidP="00D90CCB">
            <w:pPr>
              <w:rPr>
                <w:color w:val="000000"/>
              </w:rPr>
            </w:pPr>
            <w:r w:rsidRPr="00250CC4">
              <w:rPr>
                <w:color w:val="000000"/>
              </w:rPr>
              <w:t>4</w:t>
            </w:r>
          </w:p>
        </w:tc>
        <w:tc>
          <w:tcPr>
            <w:tcW w:w="0" w:type="auto"/>
            <w:shd w:val="clear" w:color="auto" w:fill="auto"/>
            <w:vAlign w:val="center"/>
          </w:tcPr>
          <w:p w:rsidR="00766CA7" w:rsidRPr="00250CC4" w:rsidRDefault="00766CA7" w:rsidP="00D90CCB">
            <w:pPr>
              <w:rPr>
                <w:color w:val="000000"/>
              </w:rPr>
            </w:pPr>
            <w:r w:rsidRPr="00250CC4">
              <w:rPr>
                <w:color w:val="000000"/>
              </w:rPr>
              <w:t>Pilna apmaksa par licencēm tiek veikta 10 dienu laikā pēc pieejas nodrošināšanas un rēķina saņemšanas.</w:t>
            </w:r>
          </w:p>
        </w:tc>
        <w:tc>
          <w:tcPr>
            <w:tcW w:w="0" w:type="auto"/>
            <w:vAlign w:val="center"/>
          </w:tcPr>
          <w:p w:rsidR="00766CA7" w:rsidRPr="00250CC4" w:rsidRDefault="00766CA7" w:rsidP="00D90CCB">
            <w:pPr>
              <w:rPr>
                <w:color w:val="000000"/>
                <w:lang w:val="en-GB"/>
              </w:rPr>
            </w:pPr>
            <w:r w:rsidRPr="00250CC4">
              <w:rPr>
                <w:color w:val="000000"/>
                <w:lang w:val="en-GB"/>
              </w:rPr>
              <w:t>Full payment shall be made in 10 calendar</w:t>
            </w:r>
            <w:r w:rsidR="002F5DCB" w:rsidRPr="00250CC4">
              <w:rPr>
                <w:color w:val="000000"/>
                <w:lang w:val="en-GB"/>
              </w:rPr>
              <w:t xml:space="preserve"> days</w:t>
            </w:r>
            <w:r w:rsidRPr="00250CC4">
              <w:rPr>
                <w:color w:val="000000"/>
                <w:lang w:val="en-GB"/>
              </w:rPr>
              <w:t xml:space="preserve"> after granting of the access to the databases and reception of the invoice.</w:t>
            </w:r>
          </w:p>
        </w:tc>
      </w:tr>
      <w:tr w:rsidR="00766CA7" w:rsidRPr="00250CC4" w:rsidTr="00D90CCB">
        <w:trPr>
          <w:trHeight w:val="309"/>
        </w:trPr>
        <w:tc>
          <w:tcPr>
            <w:tcW w:w="0" w:type="auto"/>
            <w:shd w:val="clear" w:color="auto" w:fill="auto"/>
          </w:tcPr>
          <w:p w:rsidR="00766CA7" w:rsidRPr="00250CC4" w:rsidRDefault="00507168" w:rsidP="00D90CCB">
            <w:pPr>
              <w:rPr>
                <w:color w:val="000000"/>
              </w:rPr>
            </w:pPr>
            <w:r w:rsidRPr="00250CC4">
              <w:rPr>
                <w:color w:val="000000"/>
              </w:rPr>
              <w:t>5</w:t>
            </w:r>
          </w:p>
        </w:tc>
        <w:tc>
          <w:tcPr>
            <w:tcW w:w="0" w:type="auto"/>
            <w:shd w:val="clear" w:color="auto" w:fill="auto"/>
            <w:vAlign w:val="center"/>
          </w:tcPr>
          <w:p w:rsidR="00766CA7" w:rsidRPr="00250CC4" w:rsidRDefault="00766CA7" w:rsidP="00D90CCB">
            <w:pPr>
              <w:rPr>
                <w:color w:val="000000"/>
              </w:rPr>
            </w:pPr>
            <w:r w:rsidRPr="00250CC4">
              <w:rPr>
                <w:color w:val="000000"/>
              </w:rPr>
              <w:t>Ja tiešsaistes pieeja visām datu bāzēm nav tikusi nodrošināta līdz 2015. gada 28. decembrim, Pasūtītājs ir tiesīgs vienpusēji atkāpties no Līguma izpildes un to pārtraukt bez atlīdzības.</w:t>
            </w:r>
          </w:p>
        </w:tc>
        <w:tc>
          <w:tcPr>
            <w:tcW w:w="0" w:type="auto"/>
            <w:vAlign w:val="center"/>
          </w:tcPr>
          <w:p w:rsidR="00766CA7" w:rsidRPr="00250CC4" w:rsidRDefault="00766CA7" w:rsidP="00D90CCB">
            <w:pPr>
              <w:rPr>
                <w:color w:val="000000"/>
                <w:lang w:val="en-GB"/>
              </w:rPr>
            </w:pPr>
            <w:r w:rsidRPr="00250CC4">
              <w:rPr>
                <w:color w:val="000000"/>
                <w:lang w:val="en-GB"/>
              </w:rPr>
              <w:t xml:space="preserve">If the access to all databases have not been granted by 28th December, 2015, Purchaser has right to withdraw from the contract </w:t>
            </w:r>
            <w:r w:rsidR="002F5DCB" w:rsidRPr="00250CC4">
              <w:rPr>
                <w:color w:val="000000"/>
                <w:lang w:val="en-GB"/>
              </w:rPr>
              <w:t>unilaterally</w:t>
            </w:r>
            <w:r w:rsidRPr="00250CC4">
              <w:rPr>
                <w:color w:val="000000"/>
                <w:lang w:val="en-GB"/>
              </w:rPr>
              <w:t xml:space="preserve"> and cancel it without payment.</w:t>
            </w:r>
          </w:p>
        </w:tc>
      </w:tr>
      <w:tr w:rsidR="00766CA7" w:rsidRPr="002F5DCB" w:rsidTr="00D90CCB">
        <w:trPr>
          <w:trHeight w:val="309"/>
        </w:trPr>
        <w:tc>
          <w:tcPr>
            <w:tcW w:w="0" w:type="auto"/>
            <w:shd w:val="clear" w:color="auto" w:fill="auto"/>
          </w:tcPr>
          <w:p w:rsidR="00766CA7" w:rsidRPr="00250CC4" w:rsidRDefault="00507168" w:rsidP="00D90CCB">
            <w:pPr>
              <w:rPr>
                <w:color w:val="000000"/>
              </w:rPr>
            </w:pPr>
            <w:r w:rsidRPr="00250CC4">
              <w:rPr>
                <w:color w:val="000000"/>
              </w:rPr>
              <w:t>6</w:t>
            </w:r>
          </w:p>
        </w:tc>
        <w:tc>
          <w:tcPr>
            <w:tcW w:w="0" w:type="auto"/>
            <w:shd w:val="clear" w:color="auto" w:fill="auto"/>
            <w:vAlign w:val="center"/>
          </w:tcPr>
          <w:p w:rsidR="00766CA7" w:rsidRPr="00250CC4" w:rsidRDefault="00766CA7" w:rsidP="00D90CCB">
            <w:pPr>
              <w:rPr>
                <w:color w:val="000000"/>
              </w:rPr>
            </w:pPr>
            <w:r w:rsidRPr="00250CC4">
              <w:rPr>
                <w:color w:val="000000"/>
              </w:rPr>
              <w:t>Pretendentam jāpievieno zinātnisko datu bāžu īpašnieka apliecinājums par Pretendentam piešķirtām tiesībām veikt noteikto pieejas licenču pārdošanu.</w:t>
            </w:r>
          </w:p>
        </w:tc>
        <w:tc>
          <w:tcPr>
            <w:tcW w:w="0" w:type="auto"/>
            <w:vAlign w:val="center"/>
          </w:tcPr>
          <w:p w:rsidR="00766CA7" w:rsidRPr="002F5DCB" w:rsidRDefault="00766CA7" w:rsidP="00D90CCB">
            <w:pPr>
              <w:rPr>
                <w:color w:val="000000"/>
                <w:lang w:val="en-GB"/>
              </w:rPr>
            </w:pPr>
            <w:r w:rsidRPr="00250CC4">
              <w:rPr>
                <w:color w:val="000000"/>
                <w:lang w:val="en-GB"/>
              </w:rPr>
              <w:t>Applicant should provide acknowledgment from the owner of the databases that Applicant has rights to sell the access licences.</w:t>
            </w:r>
            <w:bookmarkStart w:id="0" w:name="_GoBack"/>
            <w:bookmarkEnd w:id="0"/>
          </w:p>
        </w:tc>
      </w:tr>
    </w:tbl>
    <w:p w:rsidR="0019716E" w:rsidRDefault="0019716E" w:rsidP="0019716E">
      <w:pPr>
        <w:rPr>
          <w:lang w:eastAsia="en-US"/>
        </w:rPr>
      </w:pPr>
    </w:p>
    <w:sectPr w:rsidR="0019716E" w:rsidSect="00194F61">
      <w:pgSz w:w="12240" w:h="15840"/>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F3C" w:rsidRDefault="007C1F3C">
      <w:r>
        <w:separator/>
      </w:r>
    </w:p>
  </w:endnote>
  <w:endnote w:type="continuationSeparator" w:id="0">
    <w:p w:rsidR="007C1F3C" w:rsidRDefault="007C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Verdana">
    <w:panose1 w:val="020B0604030504040204"/>
    <w:charset w:val="BA"/>
    <w:family w:val="swiss"/>
    <w:pitch w:val="variable"/>
    <w:sig w:usb0="20000287" w:usb1="00000000"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540152"/>
      <w:docPartObj>
        <w:docPartGallery w:val="Page Numbers (Bottom of Page)"/>
        <w:docPartUnique/>
      </w:docPartObj>
    </w:sdtPr>
    <w:sdtEndPr>
      <w:rPr>
        <w:noProof/>
      </w:rPr>
    </w:sdtEndPr>
    <w:sdtContent>
      <w:p w:rsidR="00107369" w:rsidRDefault="00107369">
        <w:pPr>
          <w:pStyle w:val="Footer"/>
          <w:jc w:val="right"/>
        </w:pPr>
        <w:r>
          <w:fldChar w:fldCharType="begin"/>
        </w:r>
        <w:r>
          <w:instrText xml:space="preserve"> PAGE   \* MERGEFORMAT </w:instrText>
        </w:r>
        <w:r>
          <w:fldChar w:fldCharType="separate"/>
        </w:r>
        <w:r w:rsidR="00250CC4">
          <w:rPr>
            <w:noProof/>
          </w:rPr>
          <w:t>9</w:t>
        </w:r>
        <w:r>
          <w:rPr>
            <w:noProof/>
          </w:rPr>
          <w:fldChar w:fldCharType="end"/>
        </w:r>
      </w:p>
    </w:sdtContent>
  </w:sdt>
  <w:p w:rsidR="008774AC" w:rsidRDefault="008774AC" w:rsidP="00C62A4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F3C" w:rsidRDefault="007C1F3C">
      <w:r>
        <w:separator/>
      </w:r>
    </w:p>
  </w:footnote>
  <w:footnote w:type="continuationSeparator" w:id="0">
    <w:p w:rsidR="007C1F3C" w:rsidRDefault="007C1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228"/>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47A63CA"/>
    <w:multiLevelType w:val="hybridMultilevel"/>
    <w:tmpl w:val="4F1EB4CE"/>
    <w:lvl w:ilvl="0" w:tplc="8948090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C36B2E"/>
    <w:multiLevelType w:val="hybridMultilevel"/>
    <w:tmpl w:val="38440194"/>
    <w:lvl w:ilvl="0" w:tplc="04260001">
      <w:start w:val="1"/>
      <w:numFmt w:val="bullet"/>
      <w:lvlText w:val=""/>
      <w:lvlJc w:val="left"/>
      <w:pPr>
        <w:ind w:left="835" w:hanging="360"/>
      </w:pPr>
      <w:rPr>
        <w:rFonts w:ascii="Symbol" w:hAnsi="Symbol" w:hint="default"/>
      </w:rPr>
    </w:lvl>
    <w:lvl w:ilvl="1" w:tplc="04260003" w:tentative="1">
      <w:start w:val="1"/>
      <w:numFmt w:val="bullet"/>
      <w:lvlText w:val="o"/>
      <w:lvlJc w:val="left"/>
      <w:pPr>
        <w:ind w:left="1555" w:hanging="360"/>
      </w:pPr>
      <w:rPr>
        <w:rFonts w:ascii="Courier New" w:hAnsi="Courier New" w:cs="Courier New" w:hint="default"/>
      </w:rPr>
    </w:lvl>
    <w:lvl w:ilvl="2" w:tplc="04260005" w:tentative="1">
      <w:start w:val="1"/>
      <w:numFmt w:val="bullet"/>
      <w:lvlText w:val=""/>
      <w:lvlJc w:val="left"/>
      <w:pPr>
        <w:ind w:left="2275" w:hanging="360"/>
      </w:pPr>
      <w:rPr>
        <w:rFonts w:ascii="Wingdings" w:hAnsi="Wingdings" w:hint="default"/>
      </w:rPr>
    </w:lvl>
    <w:lvl w:ilvl="3" w:tplc="04260001" w:tentative="1">
      <w:start w:val="1"/>
      <w:numFmt w:val="bullet"/>
      <w:lvlText w:val=""/>
      <w:lvlJc w:val="left"/>
      <w:pPr>
        <w:ind w:left="2995" w:hanging="360"/>
      </w:pPr>
      <w:rPr>
        <w:rFonts w:ascii="Symbol" w:hAnsi="Symbol" w:hint="default"/>
      </w:rPr>
    </w:lvl>
    <w:lvl w:ilvl="4" w:tplc="04260003" w:tentative="1">
      <w:start w:val="1"/>
      <w:numFmt w:val="bullet"/>
      <w:lvlText w:val="o"/>
      <w:lvlJc w:val="left"/>
      <w:pPr>
        <w:ind w:left="3715" w:hanging="360"/>
      </w:pPr>
      <w:rPr>
        <w:rFonts w:ascii="Courier New" w:hAnsi="Courier New" w:cs="Courier New" w:hint="default"/>
      </w:rPr>
    </w:lvl>
    <w:lvl w:ilvl="5" w:tplc="04260005" w:tentative="1">
      <w:start w:val="1"/>
      <w:numFmt w:val="bullet"/>
      <w:lvlText w:val=""/>
      <w:lvlJc w:val="left"/>
      <w:pPr>
        <w:ind w:left="4435" w:hanging="360"/>
      </w:pPr>
      <w:rPr>
        <w:rFonts w:ascii="Wingdings" w:hAnsi="Wingdings" w:hint="default"/>
      </w:rPr>
    </w:lvl>
    <w:lvl w:ilvl="6" w:tplc="04260001" w:tentative="1">
      <w:start w:val="1"/>
      <w:numFmt w:val="bullet"/>
      <w:lvlText w:val=""/>
      <w:lvlJc w:val="left"/>
      <w:pPr>
        <w:ind w:left="5155" w:hanging="360"/>
      </w:pPr>
      <w:rPr>
        <w:rFonts w:ascii="Symbol" w:hAnsi="Symbol" w:hint="default"/>
      </w:rPr>
    </w:lvl>
    <w:lvl w:ilvl="7" w:tplc="04260003" w:tentative="1">
      <w:start w:val="1"/>
      <w:numFmt w:val="bullet"/>
      <w:lvlText w:val="o"/>
      <w:lvlJc w:val="left"/>
      <w:pPr>
        <w:ind w:left="5875" w:hanging="360"/>
      </w:pPr>
      <w:rPr>
        <w:rFonts w:ascii="Courier New" w:hAnsi="Courier New" w:cs="Courier New" w:hint="default"/>
      </w:rPr>
    </w:lvl>
    <w:lvl w:ilvl="8" w:tplc="04260005" w:tentative="1">
      <w:start w:val="1"/>
      <w:numFmt w:val="bullet"/>
      <w:lvlText w:val=""/>
      <w:lvlJc w:val="left"/>
      <w:pPr>
        <w:ind w:left="6595" w:hanging="360"/>
      </w:pPr>
      <w:rPr>
        <w:rFonts w:ascii="Wingdings" w:hAnsi="Wingdings" w:hint="default"/>
      </w:rPr>
    </w:lvl>
  </w:abstractNum>
  <w:abstractNum w:abstractNumId="3">
    <w:nsid w:val="22997653"/>
    <w:multiLevelType w:val="multilevel"/>
    <w:tmpl w:val="20D4C9A0"/>
    <w:lvl w:ilvl="0">
      <w:start w:val="4"/>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B800707"/>
    <w:multiLevelType w:val="hybridMultilevel"/>
    <w:tmpl w:val="942E0C1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5">
    <w:nsid w:val="365060D5"/>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C140F41"/>
    <w:multiLevelType w:val="hybridMultilevel"/>
    <w:tmpl w:val="C3AC2E72"/>
    <w:lvl w:ilvl="0" w:tplc="0426000F">
      <w:start w:val="1"/>
      <w:numFmt w:val="decimal"/>
      <w:lvlText w:val="%1."/>
      <w:lvlJc w:val="left"/>
      <w:pPr>
        <w:tabs>
          <w:tab w:val="num" w:pos="644"/>
        </w:tabs>
        <w:ind w:left="644" w:hanging="360"/>
      </w:p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7">
    <w:nsid w:val="4DA45239"/>
    <w:multiLevelType w:val="hybridMultilevel"/>
    <w:tmpl w:val="5C627BF8"/>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8">
    <w:nsid w:val="5B826618"/>
    <w:multiLevelType w:val="hybridMultilevel"/>
    <w:tmpl w:val="66E0051C"/>
    <w:lvl w:ilvl="0" w:tplc="877AF368">
      <w:start w:val="1"/>
      <w:numFmt w:val="bullet"/>
      <w:lvlText w:val=""/>
      <w:lvlJc w:val="left"/>
      <w:pPr>
        <w:ind w:left="720" w:hanging="360"/>
      </w:pPr>
      <w:rPr>
        <w:rFonts w:ascii="Symbol" w:hAnsi="Symbol" w:hint="default"/>
        <w:sz w:val="24"/>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9">
    <w:nsid w:val="5DE90CB5"/>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65F70AF5"/>
    <w:multiLevelType w:val="hybridMultilevel"/>
    <w:tmpl w:val="B8FC30CC"/>
    <w:lvl w:ilvl="0" w:tplc="8948090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F145EB"/>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69DE31B5"/>
    <w:multiLevelType w:val="hybridMultilevel"/>
    <w:tmpl w:val="64F817EC"/>
    <w:lvl w:ilvl="0" w:tplc="DFC41452">
      <w:start w:val="1"/>
      <w:numFmt w:val="decimal"/>
      <w:lvlText w:val="%1)"/>
      <w:lvlJc w:val="left"/>
      <w:pPr>
        <w:tabs>
          <w:tab w:val="num" w:pos="1260"/>
        </w:tabs>
        <w:ind w:left="126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73037952"/>
    <w:multiLevelType w:val="multilevel"/>
    <w:tmpl w:val="2B26B3C4"/>
    <w:lvl w:ilvl="0">
      <w:start w:val="2"/>
      <w:numFmt w:val="upperRoman"/>
      <w:pStyle w:val="Heading3"/>
      <w:lvlText w:val="%1."/>
      <w:lvlJc w:val="left"/>
      <w:pPr>
        <w:tabs>
          <w:tab w:val="num" w:pos="720"/>
        </w:tabs>
        <w:ind w:left="720" w:hanging="720"/>
      </w:pPr>
      <w:rPr>
        <w:rFonts w:cs="Times New Roman" w:hint="default"/>
      </w:rPr>
    </w:lvl>
    <w:lvl w:ilvl="1">
      <w:start w:val="3"/>
      <w:numFmt w:val="decimal"/>
      <w:isLgl/>
      <w:lvlText w:val="%1.%2."/>
      <w:lvlJc w:val="left"/>
      <w:pPr>
        <w:tabs>
          <w:tab w:val="num" w:pos="720"/>
        </w:tabs>
        <w:ind w:left="720" w:hanging="720"/>
      </w:pPr>
      <w:rPr>
        <w:rFonts w:cs="Times New Roman" w:hint="default"/>
        <w:b w:val="0"/>
        <w:bCs w:val="0"/>
      </w:rPr>
    </w:lvl>
    <w:lvl w:ilvl="2">
      <w:start w:val="1"/>
      <w:numFmt w:val="decimal"/>
      <w:isLgl/>
      <w:lvlText w:val="%1.%2.%3."/>
      <w:lvlJc w:val="left"/>
      <w:pPr>
        <w:tabs>
          <w:tab w:val="num" w:pos="1080"/>
        </w:tabs>
        <w:ind w:left="1080" w:hanging="1080"/>
      </w:pPr>
      <w:rPr>
        <w:rFonts w:cs="Times New Roman" w:hint="default"/>
        <w:b w:val="0"/>
        <w:bCs w:val="0"/>
      </w:rPr>
    </w:lvl>
    <w:lvl w:ilvl="3">
      <w:start w:val="1"/>
      <w:numFmt w:val="decimal"/>
      <w:isLgl/>
      <w:lvlText w:val="%1.%2.%3.%4."/>
      <w:lvlJc w:val="left"/>
      <w:pPr>
        <w:tabs>
          <w:tab w:val="num" w:pos="1080"/>
        </w:tabs>
        <w:ind w:left="1080" w:hanging="1080"/>
      </w:pPr>
      <w:rPr>
        <w:rFonts w:cs="Times New Roman" w:hint="default"/>
        <w:b w:val="0"/>
        <w:bCs w:val="0"/>
      </w:rPr>
    </w:lvl>
    <w:lvl w:ilvl="4">
      <w:start w:val="1"/>
      <w:numFmt w:val="decimal"/>
      <w:isLgl/>
      <w:lvlText w:val="%1.%2.%3.%4.%5."/>
      <w:lvlJc w:val="left"/>
      <w:pPr>
        <w:tabs>
          <w:tab w:val="num" w:pos="1440"/>
        </w:tabs>
        <w:ind w:left="1440" w:hanging="1440"/>
      </w:pPr>
      <w:rPr>
        <w:rFonts w:cs="Times New Roman" w:hint="default"/>
        <w:b w:val="0"/>
        <w:bCs w:val="0"/>
      </w:rPr>
    </w:lvl>
    <w:lvl w:ilvl="5">
      <w:start w:val="1"/>
      <w:numFmt w:val="decimal"/>
      <w:isLgl/>
      <w:lvlText w:val="%1.%2.%3.%4.%5.%6."/>
      <w:lvlJc w:val="left"/>
      <w:pPr>
        <w:tabs>
          <w:tab w:val="num" w:pos="1800"/>
        </w:tabs>
        <w:ind w:left="1800" w:hanging="1800"/>
      </w:pPr>
      <w:rPr>
        <w:rFonts w:cs="Times New Roman" w:hint="default"/>
        <w:b w:val="0"/>
        <w:bCs w:val="0"/>
      </w:rPr>
    </w:lvl>
    <w:lvl w:ilvl="6">
      <w:start w:val="1"/>
      <w:numFmt w:val="decimal"/>
      <w:isLgl/>
      <w:lvlText w:val="%1.%2.%3.%4.%5.%6.%7."/>
      <w:lvlJc w:val="left"/>
      <w:pPr>
        <w:tabs>
          <w:tab w:val="num" w:pos="2160"/>
        </w:tabs>
        <w:ind w:left="2160" w:hanging="2160"/>
      </w:pPr>
      <w:rPr>
        <w:rFonts w:cs="Times New Roman" w:hint="default"/>
        <w:b w:val="0"/>
        <w:bCs w:val="0"/>
      </w:rPr>
    </w:lvl>
    <w:lvl w:ilvl="7">
      <w:start w:val="1"/>
      <w:numFmt w:val="decimal"/>
      <w:isLgl/>
      <w:lvlText w:val="%1.%2.%3.%4.%5.%6.%7.%8."/>
      <w:lvlJc w:val="left"/>
      <w:pPr>
        <w:tabs>
          <w:tab w:val="num" w:pos="2160"/>
        </w:tabs>
        <w:ind w:left="2160" w:hanging="2160"/>
      </w:pPr>
      <w:rPr>
        <w:rFonts w:cs="Times New Roman" w:hint="default"/>
        <w:b w:val="0"/>
        <w:bCs w:val="0"/>
      </w:rPr>
    </w:lvl>
    <w:lvl w:ilvl="8">
      <w:start w:val="1"/>
      <w:numFmt w:val="decimal"/>
      <w:isLgl/>
      <w:lvlText w:val="%1.%2.%3.%4.%5.%6.%7.%8.%9."/>
      <w:lvlJc w:val="left"/>
      <w:pPr>
        <w:tabs>
          <w:tab w:val="num" w:pos="2520"/>
        </w:tabs>
        <w:ind w:left="2520" w:hanging="2520"/>
      </w:pPr>
      <w:rPr>
        <w:rFonts w:cs="Times New Roman" w:hint="default"/>
        <w:b w:val="0"/>
        <w:bCs w:val="0"/>
      </w:rPr>
    </w:lvl>
  </w:abstractNum>
  <w:num w:numId="1">
    <w:abstractNumId w:val="12"/>
  </w:num>
  <w:num w:numId="2">
    <w:abstractNumId w:val="13"/>
  </w:num>
  <w:num w:numId="3">
    <w:abstractNumId w:val="7"/>
  </w:num>
  <w:num w:numId="4">
    <w:abstractNumId w:val="3"/>
  </w:num>
  <w:num w:numId="5">
    <w:abstractNumId w:val="9"/>
  </w:num>
  <w:num w:numId="6">
    <w:abstractNumId w:val="11"/>
  </w:num>
  <w:num w:numId="7">
    <w:abstractNumId w:val="5"/>
  </w:num>
  <w:num w:numId="8">
    <w:abstractNumId w:val="0"/>
  </w:num>
  <w:num w:numId="9">
    <w:abstractNumId w:val="4"/>
  </w:num>
  <w:num w:numId="10">
    <w:abstractNumId w:val="8"/>
  </w:num>
  <w:num w:numId="11">
    <w:abstractNumId w:val="6"/>
  </w:num>
  <w:num w:numId="12">
    <w:abstractNumId w:val="2"/>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FAC"/>
    <w:rsid w:val="00000B8A"/>
    <w:rsid w:val="00011955"/>
    <w:rsid w:val="00013590"/>
    <w:rsid w:val="00016092"/>
    <w:rsid w:val="00026C19"/>
    <w:rsid w:val="00034861"/>
    <w:rsid w:val="000357FE"/>
    <w:rsid w:val="000358E7"/>
    <w:rsid w:val="000439D0"/>
    <w:rsid w:val="00044285"/>
    <w:rsid w:val="000477A2"/>
    <w:rsid w:val="00051617"/>
    <w:rsid w:val="00054A24"/>
    <w:rsid w:val="00057B4C"/>
    <w:rsid w:val="000634C8"/>
    <w:rsid w:val="0006773C"/>
    <w:rsid w:val="00074FB0"/>
    <w:rsid w:val="00076C98"/>
    <w:rsid w:val="000872D4"/>
    <w:rsid w:val="000921D3"/>
    <w:rsid w:val="000936B3"/>
    <w:rsid w:val="0009587E"/>
    <w:rsid w:val="000A2087"/>
    <w:rsid w:val="000B7044"/>
    <w:rsid w:val="000E2035"/>
    <w:rsid w:val="000E519E"/>
    <w:rsid w:val="000F53F3"/>
    <w:rsid w:val="000F799F"/>
    <w:rsid w:val="001008DF"/>
    <w:rsid w:val="00101613"/>
    <w:rsid w:val="00104621"/>
    <w:rsid w:val="00107369"/>
    <w:rsid w:val="00112E2C"/>
    <w:rsid w:val="0012356E"/>
    <w:rsid w:val="001256F8"/>
    <w:rsid w:val="0012590D"/>
    <w:rsid w:val="00137C14"/>
    <w:rsid w:val="00150851"/>
    <w:rsid w:val="00153A5E"/>
    <w:rsid w:val="00172111"/>
    <w:rsid w:val="00181877"/>
    <w:rsid w:val="001828D9"/>
    <w:rsid w:val="0018471F"/>
    <w:rsid w:val="00194F61"/>
    <w:rsid w:val="0019716E"/>
    <w:rsid w:val="00197F8D"/>
    <w:rsid w:val="001A3364"/>
    <w:rsid w:val="001A5782"/>
    <w:rsid w:val="001B2561"/>
    <w:rsid w:val="001B66DC"/>
    <w:rsid w:val="001B7E52"/>
    <w:rsid w:val="001C3DB6"/>
    <w:rsid w:val="001D2639"/>
    <w:rsid w:val="001D275A"/>
    <w:rsid w:val="001D73B4"/>
    <w:rsid w:val="001D76E5"/>
    <w:rsid w:val="001E2039"/>
    <w:rsid w:val="001F6970"/>
    <w:rsid w:val="00202940"/>
    <w:rsid w:val="00210419"/>
    <w:rsid w:val="00234B35"/>
    <w:rsid w:val="0024445F"/>
    <w:rsid w:val="00250CC4"/>
    <w:rsid w:val="0027153F"/>
    <w:rsid w:val="00272D5B"/>
    <w:rsid w:val="00273823"/>
    <w:rsid w:val="00282143"/>
    <w:rsid w:val="0028693D"/>
    <w:rsid w:val="002875CF"/>
    <w:rsid w:val="00295F2B"/>
    <w:rsid w:val="002A6C3B"/>
    <w:rsid w:val="002A6E76"/>
    <w:rsid w:val="002B040E"/>
    <w:rsid w:val="002B3634"/>
    <w:rsid w:val="002B64FD"/>
    <w:rsid w:val="002B752D"/>
    <w:rsid w:val="002C4511"/>
    <w:rsid w:val="002C4780"/>
    <w:rsid w:val="002C53FE"/>
    <w:rsid w:val="002D528F"/>
    <w:rsid w:val="002E03CD"/>
    <w:rsid w:val="002E29D1"/>
    <w:rsid w:val="002E483B"/>
    <w:rsid w:val="002F0EA2"/>
    <w:rsid w:val="002F23A8"/>
    <w:rsid w:val="002F5DCB"/>
    <w:rsid w:val="002F6AB9"/>
    <w:rsid w:val="002F7EB2"/>
    <w:rsid w:val="00313498"/>
    <w:rsid w:val="00317F99"/>
    <w:rsid w:val="00331CA8"/>
    <w:rsid w:val="00333610"/>
    <w:rsid w:val="00335280"/>
    <w:rsid w:val="0033652F"/>
    <w:rsid w:val="00352A97"/>
    <w:rsid w:val="003572F4"/>
    <w:rsid w:val="00362A05"/>
    <w:rsid w:val="00377435"/>
    <w:rsid w:val="00382C03"/>
    <w:rsid w:val="003841C8"/>
    <w:rsid w:val="00387282"/>
    <w:rsid w:val="003A4A2E"/>
    <w:rsid w:val="003B02CB"/>
    <w:rsid w:val="003B22DA"/>
    <w:rsid w:val="003B6EFB"/>
    <w:rsid w:val="003C05F6"/>
    <w:rsid w:val="003C5755"/>
    <w:rsid w:val="003D313D"/>
    <w:rsid w:val="003E7941"/>
    <w:rsid w:val="003E7C8D"/>
    <w:rsid w:val="003F059F"/>
    <w:rsid w:val="00403B39"/>
    <w:rsid w:val="0040559E"/>
    <w:rsid w:val="00407ED8"/>
    <w:rsid w:val="00407F47"/>
    <w:rsid w:val="004154A6"/>
    <w:rsid w:val="00431943"/>
    <w:rsid w:val="00470149"/>
    <w:rsid w:val="004738CF"/>
    <w:rsid w:val="004759B0"/>
    <w:rsid w:val="0048566B"/>
    <w:rsid w:val="00485BB8"/>
    <w:rsid w:val="00493900"/>
    <w:rsid w:val="0049482C"/>
    <w:rsid w:val="004957E8"/>
    <w:rsid w:val="00497356"/>
    <w:rsid w:val="004A1E7A"/>
    <w:rsid w:val="004A4435"/>
    <w:rsid w:val="004A7F4D"/>
    <w:rsid w:val="004B72F6"/>
    <w:rsid w:val="004C4AD5"/>
    <w:rsid w:val="004C5492"/>
    <w:rsid w:val="004C600D"/>
    <w:rsid w:val="004C69DA"/>
    <w:rsid w:val="004D117F"/>
    <w:rsid w:val="004D12B8"/>
    <w:rsid w:val="004D4717"/>
    <w:rsid w:val="004F06C6"/>
    <w:rsid w:val="00503A70"/>
    <w:rsid w:val="00504B5A"/>
    <w:rsid w:val="00507168"/>
    <w:rsid w:val="00514479"/>
    <w:rsid w:val="00514A3C"/>
    <w:rsid w:val="00533380"/>
    <w:rsid w:val="0053689B"/>
    <w:rsid w:val="005547D4"/>
    <w:rsid w:val="00554B78"/>
    <w:rsid w:val="00555520"/>
    <w:rsid w:val="0055774D"/>
    <w:rsid w:val="005700B2"/>
    <w:rsid w:val="00571A9F"/>
    <w:rsid w:val="00585D06"/>
    <w:rsid w:val="00593D37"/>
    <w:rsid w:val="00593D95"/>
    <w:rsid w:val="00597087"/>
    <w:rsid w:val="00597B1E"/>
    <w:rsid w:val="005A1900"/>
    <w:rsid w:val="005A253E"/>
    <w:rsid w:val="005B6284"/>
    <w:rsid w:val="005C2249"/>
    <w:rsid w:val="005C2F41"/>
    <w:rsid w:val="005C404D"/>
    <w:rsid w:val="005D790E"/>
    <w:rsid w:val="005E19A9"/>
    <w:rsid w:val="005E4E35"/>
    <w:rsid w:val="005F1BE8"/>
    <w:rsid w:val="00605076"/>
    <w:rsid w:val="0061213A"/>
    <w:rsid w:val="00616571"/>
    <w:rsid w:val="00636B7C"/>
    <w:rsid w:val="00665251"/>
    <w:rsid w:val="00665289"/>
    <w:rsid w:val="00666FAC"/>
    <w:rsid w:val="006702F8"/>
    <w:rsid w:val="00676352"/>
    <w:rsid w:val="006802F0"/>
    <w:rsid w:val="00680CCA"/>
    <w:rsid w:val="00682CBE"/>
    <w:rsid w:val="00686CBC"/>
    <w:rsid w:val="00691A6F"/>
    <w:rsid w:val="00695F92"/>
    <w:rsid w:val="00696CCF"/>
    <w:rsid w:val="006A15B2"/>
    <w:rsid w:val="006A50D3"/>
    <w:rsid w:val="006A7379"/>
    <w:rsid w:val="006A7A49"/>
    <w:rsid w:val="006D1A6F"/>
    <w:rsid w:val="006E7AFB"/>
    <w:rsid w:val="006F27E7"/>
    <w:rsid w:val="00703020"/>
    <w:rsid w:val="00703CB7"/>
    <w:rsid w:val="00706408"/>
    <w:rsid w:val="00707C1E"/>
    <w:rsid w:val="0072032A"/>
    <w:rsid w:val="0072479A"/>
    <w:rsid w:val="00731B24"/>
    <w:rsid w:val="007370F0"/>
    <w:rsid w:val="00750E79"/>
    <w:rsid w:val="00766CA7"/>
    <w:rsid w:val="00770BD5"/>
    <w:rsid w:val="00787438"/>
    <w:rsid w:val="00787507"/>
    <w:rsid w:val="007A3F90"/>
    <w:rsid w:val="007A5C02"/>
    <w:rsid w:val="007A639B"/>
    <w:rsid w:val="007C02D0"/>
    <w:rsid w:val="007C1F3C"/>
    <w:rsid w:val="007C5CD2"/>
    <w:rsid w:val="007E10E1"/>
    <w:rsid w:val="007E12B3"/>
    <w:rsid w:val="007E75BF"/>
    <w:rsid w:val="007F275F"/>
    <w:rsid w:val="008011ED"/>
    <w:rsid w:val="00802EDF"/>
    <w:rsid w:val="00815088"/>
    <w:rsid w:val="008224F5"/>
    <w:rsid w:val="00830894"/>
    <w:rsid w:val="0083762F"/>
    <w:rsid w:val="008501DB"/>
    <w:rsid w:val="008659D6"/>
    <w:rsid w:val="00870773"/>
    <w:rsid w:val="008774AC"/>
    <w:rsid w:val="0088079D"/>
    <w:rsid w:val="00886EA4"/>
    <w:rsid w:val="00892416"/>
    <w:rsid w:val="008A0676"/>
    <w:rsid w:val="008A06D2"/>
    <w:rsid w:val="008A6417"/>
    <w:rsid w:val="008B5489"/>
    <w:rsid w:val="008C06F8"/>
    <w:rsid w:val="008C2DF9"/>
    <w:rsid w:val="008C3934"/>
    <w:rsid w:val="008D0A40"/>
    <w:rsid w:val="008D0AD9"/>
    <w:rsid w:val="008D5A5F"/>
    <w:rsid w:val="008D71B1"/>
    <w:rsid w:val="008E38B6"/>
    <w:rsid w:val="008E3FE1"/>
    <w:rsid w:val="008E5005"/>
    <w:rsid w:val="008F2AF5"/>
    <w:rsid w:val="008F42C4"/>
    <w:rsid w:val="008F4A62"/>
    <w:rsid w:val="009032B0"/>
    <w:rsid w:val="00923493"/>
    <w:rsid w:val="0092349A"/>
    <w:rsid w:val="00924144"/>
    <w:rsid w:val="00935D6E"/>
    <w:rsid w:val="0093756E"/>
    <w:rsid w:val="009400C1"/>
    <w:rsid w:val="00941DBB"/>
    <w:rsid w:val="00941F0A"/>
    <w:rsid w:val="009459FE"/>
    <w:rsid w:val="00945BBD"/>
    <w:rsid w:val="00956F8B"/>
    <w:rsid w:val="00976F79"/>
    <w:rsid w:val="00992544"/>
    <w:rsid w:val="009927C6"/>
    <w:rsid w:val="00994A7E"/>
    <w:rsid w:val="0099781A"/>
    <w:rsid w:val="009A244D"/>
    <w:rsid w:val="009A7B7B"/>
    <w:rsid w:val="009C045C"/>
    <w:rsid w:val="009C0542"/>
    <w:rsid w:val="009C1DBB"/>
    <w:rsid w:val="009D0033"/>
    <w:rsid w:val="009D0039"/>
    <w:rsid w:val="009E3537"/>
    <w:rsid w:val="009F0337"/>
    <w:rsid w:val="009F6224"/>
    <w:rsid w:val="00A05EAE"/>
    <w:rsid w:val="00A17D09"/>
    <w:rsid w:val="00A262B9"/>
    <w:rsid w:val="00A2656A"/>
    <w:rsid w:val="00A4055C"/>
    <w:rsid w:val="00A42032"/>
    <w:rsid w:val="00A51214"/>
    <w:rsid w:val="00A760BA"/>
    <w:rsid w:val="00A80E01"/>
    <w:rsid w:val="00A85D5D"/>
    <w:rsid w:val="00A92267"/>
    <w:rsid w:val="00A950F8"/>
    <w:rsid w:val="00AB016A"/>
    <w:rsid w:val="00AB0265"/>
    <w:rsid w:val="00AB3A94"/>
    <w:rsid w:val="00AC607E"/>
    <w:rsid w:val="00AD1231"/>
    <w:rsid w:val="00AD6E75"/>
    <w:rsid w:val="00AE39E1"/>
    <w:rsid w:val="00B02A70"/>
    <w:rsid w:val="00B26AE1"/>
    <w:rsid w:val="00B277ED"/>
    <w:rsid w:val="00B3227A"/>
    <w:rsid w:val="00B32BB5"/>
    <w:rsid w:val="00B3445B"/>
    <w:rsid w:val="00B43F7C"/>
    <w:rsid w:val="00B446FB"/>
    <w:rsid w:val="00B4762E"/>
    <w:rsid w:val="00B60B82"/>
    <w:rsid w:val="00B62DFD"/>
    <w:rsid w:val="00B667D8"/>
    <w:rsid w:val="00B72C71"/>
    <w:rsid w:val="00B75537"/>
    <w:rsid w:val="00B82340"/>
    <w:rsid w:val="00B91A7B"/>
    <w:rsid w:val="00BA3BD6"/>
    <w:rsid w:val="00BB6EA3"/>
    <w:rsid w:val="00BC4EA3"/>
    <w:rsid w:val="00BD56A5"/>
    <w:rsid w:val="00BD724E"/>
    <w:rsid w:val="00BF0AD1"/>
    <w:rsid w:val="00C006C5"/>
    <w:rsid w:val="00C00767"/>
    <w:rsid w:val="00C01B37"/>
    <w:rsid w:val="00C01D6B"/>
    <w:rsid w:val="00C13920"/>
    <w:rsid w:val="00C16A38"/>
    <w:rsid w:val="00C21A7D"/>
    <w:rsid w:val="00C24065"/>
    <w:rsid w:val="00C31797"/>
    <w:rsid w:val="00C534DE"/>
    <w:rsid w:val="00C61467"/>
    <w:rsid w:val="00C62A48"/>
    <w:rsid w:val="00C677F7"/>
    <w:rsid w:val="00C704A0"/>
    <w:rsid w:val="00C71755"/>
    <w:rsid w:val="00C73207"/>
    <w:rsid w:val="00CA53A6"/>
    <w:rsid w:val="00CB121C"/>
    <w:rsid w:val="00CB1DF5"/>
    <w:rsid w:val="00CB395A"/>
    <w:rsid w:val="00CB754D"/>
    <w:rsid w:val="00CC1ECC"/>
    <w:rsid w:val="00CE059E"/>
    <w:rsid w:val="00CE7273"/>
    <w:rsid w:val="00CF61BE"/>
    <w:rsid w:val="00D051F6"/>
    <w:rsid w:val="00D3045F"/>
    <w:rsid w:val="00D3292D"/>
    <w:rsid w:val="00D32F0A"/>
    <w:rsid w:val="00D34B2C"/>
    <w:rsid w:val="00D422DC"/>
    <w:rsid w:val="00D63C53"/>
    <w:rsid w:val="00D71311"/>
    <w:rsid w:val="00D73406"/>
    <w:rsid w:val="00D74BD4"/>
    <w:rsid w:val="00D86824"/>
    <w:rsid w:val="00D92A6E"/>
    <w:rsid w:val="00DA1235"/>
    <w:rsid w:val="00DA39CD"/>
    <w:rsid w:val="00DA76A9"/>
    <w:rsid w:val="00DC6C50"/>
    <w:rsid w:val="00DD1366"/>
    <w:rsid w:val="00DD26D3"/>
    <w:rsid w:val="00DE0592"/>
    <w:rsid w:val="00DE08BC"/>
    <w:rsid w:val="00DE5B8E"/>
    <w:rsid w:val="00DF19AF"/>
    <w:rsid w:val="00DF52CF"/>
    <w:rsid w:val="00E00C56"/>
    <w:rsid w:val="00E021BE"/>
    <w:rsid w:val="00E17333"/>
    <w:rsid w:val="00E41A47"/>
    <w:rsid w:val="00E47457"/>
    <w:rsid w:val="00E5432A"/>
    <w:rsid w:val="00E60677"/>
    <w:rsid w:val="00E74AAE"/>
    <w:rsid w:val="00E81E83"/>
    <w:rsid w:val="00E86AF6"/>
    <w:rsid w:val="00EA127A"/>
    <w:rsid w:val="00EA2146"/>
    <w:rsid w:val="00EB2096"/>
    <w:rsid w:val="00EB2C53"/>
    <w:rsid w:val="00EB337B"/>
    <w:rsid w:val="00EC32A8"/>
    <w:rsid w:val="00ED32EC"/>
    <w:rsid w:val="00EE378E"/>
    <w:rsid w:val="00EF1F5C"/>
    <w:rsid w:val="00EF486E"/>
    <w:rsid w:val="00F020CE"/>
    <w:rsid w:val="00F1001B"/>
    <w:rsid w:val="00F14D18"/>
    <w:rsid w:val="00F14DBC"/>
    <w:rsid w:val="00F15F6F"/>
    <w:rsid w:val="00F20513"/>
    <w:rsid w:val="00F22B24"/>
    <w:rsid w:val="00F232E5"/>
    <w:rsid w:val="00F352CA"/>
    <w:rsid w:val="00F35C60"/>
    <w:rsid w:val="00F44270"/>
    <w:rsid w:val="00F46383"/>
    <w:rsid w:val="00F5472F"/>
    <w:rsid w:val="00F57042"/>
    <w:rsid w:val="00F61674"/>
    <w:rsid w:val="00F73852"/>
    <w:rsid w:val="00F80F17"/>
    <w:rsid w:val="00F83194"/>
    <w:rsid w:val="00F903E9"/>
    <w:rsid w:val="00FA0960"/>
    <w:rsid w:val="00FA5768"/>
    <w:rsid w:val="00FB29F9"/>
    <w:rsid w:val="00FC760C"/>
    <w:rsid w:val="00FD2C96"/>
    <w:rsid w:val="00FE4D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666FAC"/>
    <w:rPr>
      <w:rFonts w:ascii="Times New Roman" w:hAnsi="Times New Roman"/>
      <w:sz w:val="24"/>
      <w:szCs w:val="24"/>
    </w:rPr>
  </w:style>
  <w:style w:type="paragraph" w:styleId="Heading1">
    <w:name w:val="heading 1"/>
    <w:basedOn w:val="Normal"/>
    <w:next w:val="Normal"/>
    <w:link w:val="Heading1Char"/>
    <w:qFormat/>
    <w:rsid w:val="000F799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F799F"/>
    <w:pPr>
      <w:keepNext/>
      <w:jc w:val="both"/>
      <w:outlineLvl w:val="1"/>
    </w:pPr>
    <w:rPr>
      <w:b/>
      <w:bCs/>
      <w:sz w:val="20"/>
      <w:szCs w:val="20"/>
      <w:lang w:eastAsia="en-US"/>
    </w:rPr>
  </w:style>
  <w:style w:type="paragraph" w:styleId="Heading3">
    <w:name w:val="heading 3"/>
    <w:basedOn w:val="Normal"/>
    <w:next w:val="Normal"/>
    <w:link w:val="Heading3Char"/>
    <w:qFormat/>
    <w:rsid w:val="000F799F"/>
    <w:pPr>
      <w:keepNext/>
      <w:numPr>
        <w:numId w:val="2"/>
      </w:numPr>
      <w:jc w:val="center"/>
      <w:outlineLvl w:val="2"/>
    </w:pPr>
    <w:rPr>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F799F"/>
    <w:rPr>
      <w:rFonts w:ascii="Arial" w:hAnsi="Arial" w:cs="Arial"/>
      <w:b/>
      <w:bCs/>
      <w:kern w:val="32"/>
      <w:sz w:val="32"/>
      <w:szCs w:val="32"/>
      <w:lang w:val="lv-LV" w:eastAsia="lv-LV"/>
    </w:rPr>
  </w:style>
  <w:style w:type="character" w:customStyle="1" w:styleId="Heading2Char">
    <w:name w:val="Heading 2 Char"/>
    <w:link w:val="Heading2"/>
    <w:locked/>
    <w:rsid w:val="000F799F"/>
    <w:rPr>
      <w:rFonts w:ascii="Times New Roman" w:hAnsi="Times New Roman" w:cs="Times New Roman"/>
      <w:b/>
      <w:bCs/>
      <w:sz w:val="24"/>
      <w:szCs w:val="24"/>
      <w:lang w:val="lv-LV" w:eastAsia="x-none"/>
    </w:rPr>
  </w:style>
  <w:style w:type="character" w:customStyle="1" w:styleId="Heading3Char">
    <w:name w:val="Heading 3 Char"/>
    <w:link w:val="Heading3"/>
    <w:locked/>
    <w:rsid w:val="000F799F"/>
    <w:rPr>
      <w:rFonts w:ascii="Times New Roman" w:hAnsi="Times New Roman" w:cs="Times New Roman"/>
      <w:b/>
      <w:bCs/>
      <w:sz w:val="20"/>
      <w:szCs w:val="20"/>
      <w:lang w:val="lv-LV" w:eastAsia="x-none"/>
    </w:rPr>
  </w:style>
  <w:style w:type="character" w:styleId="Hyperlink">
    <w:name w:val="Hyperlink"/>
    <w:uiPriority w:val="99"/>
    <w:rsid w:val="000F799F"/>
    <w:rPr>
      <w:rFonts w:cs="Times New Roman"/>
      <w:color w:val="0000FF"/>
      <w:u w:val="single"/>
    </w:rPr>
  </w:style>
  <w:style w:type="table" w:styleId="TableGrid">
    <w:name w:val="Table Grid"/>
    <w:basedOn w:val="TableNormal"/>
    <w:uiPriority w:val="59"/>
    <w:rsid w:val="000F799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F799F"/>
    <w:rPr>
      <w:rFonts w:ascii="Tahoma" w:hAnsi="Tahoma" w:cs="Tahoma"/>
      <w:sz w:val="16"/>
      <w:szCs w:val="16"/>
    </w:rPr>
  </w:style>
  <w:style w:type="character" w:customStyle="1" w:styleId="BalloonTextChar">
    <w:name w:val="Balloon Text Char"/>
    <w:link w:val="BalloonText"/>
    <w:semiHidden/>
    <w:locked/>
    <w:rsid w:val="000F799F"/>
    <w:rPr>
      <w:rFonts w:ascii="Tahoma" w:hAnsi="Tahoma" w:cs="Tahoma"/>
      <w:sz w:val="16"/>
      <w:szCs w:val="16"/>
      <w:lang w:val="lv-LV" w:eastAsia="lv-LV"/>
    </w:rPr>
  </w:style>
  <w:style w:type="paragraph" w:styleId="Footer">
    <w:name w:val="footer"/>
    <w:basedOn w:val="Normal"/>
    <w:link w:val="FooterChar"/>
    <w:uiPriority w:val="99"/>
    <w:rsid w:val="000F799F"/>
    <w:pPr>
      <w:tabs>
        <w:tab w:val="center" w:pos="4153"/>
        <w:tab w:val="right" w:pos="8306"/>
      </w:tabs>
    </w:pPr>
  </w:style>
  <w:style w:type="character" w:customStyle="1" w:styleId="FooterChar">
    <w:name w:val="Footer Char"/>
    <w:link w:val="Footer"/>
    <w:uiPriority w:val="99"/>
    <w:locked/>
    <w:rsid w:val="000F799F"/>
    <w:rPr>
      <w:rFonts w:ascii="Times New Roman" w:hAnsi="Times New Roman" w:cs="Times New Roman"/>
      <w:sz w:val="24"/>
      <w:szCs w:val="24"/>
      <w:lang w:val="lv-LV" w:eastAsia="lv-LV"/>
    </w:rPr>
  </w:style>
  <w:style w:type="character" w:styleId="PageNumber">
    <w:name w:val="page number"/>
    <w:rsid w:val="000F799F"/>
    <w:rPr>
      <w:rFonts w:cs="Times New Roman"/>
    </w:rPr>
  </w:style>
  <w:style w:type="paragraph" w:customStyle="1" w:styleId="naisf">
    <w:name w:val="naisf"/>
    <w:basedOn w:val="Normal"/>
    <w:rsid w:val="000F799F"/>
    <w:pPr>
      <w:spacing w:before="100" w:after="100"/>
      <w:jc w:val="both"/>
    </w:pPr>
    <w:rPr>
      <w:lang w:val="en-GB" w:eastAsia="en-US"/>
    </w:rPr>
  </w:style>
  <w:style w:type="paragraph" w:styleId="CommentText">
    <w:name w:val="annotation text"/>
    <w:basedOn w:val="Normal"/>
    <w:link w:val="CommentTextChar"/>
    <w:semiHidden/>
    <w:rsid w:val="000F799F"/>
    <w:rPr>
      <w:sz w:val="20"/>
      <w:szCs w:val="20"/>
      <w:lang w:val="en-GB" w:eastAsia="en-US"/>
    </w:rPr>
  </w:style>
  <w:style w:type="character" w:customStyle="1" w:styleId="CommentTextChar">
    <w:name w:val="Comment Text Char"/>
    <w:link w:val="CommentText"/>
    <w:semiHidden/>
    <w:locked/>
    <w:rsid w:val="000F799F"/>
    <w:rPr>
      <w:rFonts w:ascii="Times New Roman" w:hAnsi="Times New Roman" w:cs="Times New Roman"/>
      <w:sz w:val="20"/>
      <w:szCs w:val="20"/>
      <w:lang w:val="en-GB" w:eastAsia="x-none"/>
    </w:rPr>
  </w:style>
  <w:style w:type="paragraph" w:customStyle="1" w:styleId="RakstzRakstz">
    <w:name w:val="Rakstz. Rakstz."/>
    <w:basedOn w:val="Normal"/>
    <w:rsid w:val="000F799F"/>
    <w:pPr>
      <w:spacing w:before="120" w:after="160" w:line="240" w:lineRule="exact"/>
      <w:ind w:firstLine="720"/>
      <w:jc w:val="both"/>
    </w:pPr>
    <w:rPr>
      <w:rFonts w:ascii="Verdana" w:hAnsi="Verdana" w:cs="Verdana"/>
      <w:sz w:val="20"/>
      <w:szCs w:val="20"/>
      <w:lang w:val="en-US" w:eastAsia="en-US"/>
    </w:rPr>
  </w:style>
  <w:style w:type="paragraph" w:styleId="BodyText2">
    <w:name w:val="Body Text 2"/>
    <w:basedOn w:val="Normal"/>
    <w:link w:val="BodyText2Char"/>
    <w:rsid w:val="000F799F"/>
    <w:pPr>
      <w:jc w:val="center"/>
    </w:pPr>
    <w:rPr>
      <w:i/>
      <w:iCs/>
      <w:lang w:eastAsia="en-US"/>
    </w:rPr>
  </w:style>
  <w:style w:type="character" w:customStyle="1" w:styleId="BodyText2Char">
    <w:name w:val="Body Text 2 Char"/>
    <w:link w:val="BodyText2"/>
    <w:locked/>
    <w:rsid w:val="000F799F"/>
    <w:rPr>
      <w:rFonts w:ascii="Times New Roman" w:hAnsi="Times New Roman" w:cs="Times New Roman"/>
      <w:i/>
      <w:iCs/>
      <w:sz w:val="20"/>
      <w:szCs w:val="20"/>
      <w:lang w:val="lv-LV" w:eastAsia="x-none"/>
    </w:rPr>
  </w:style>
  <w:style w:type="paragraph" w:styleId="TOC1">
    <w:name w:val="toc 1"/>
    <w:basedOn w:val="Normal"/>
    <w:next w:val="Normal"/>
    <w:autoRedefine/>
    <w:semiHidden/>
    <w:rsid w:val="000F799F"/>
    <w:pPr>
      <w:tabs>
        <w:tab w:val="right" w:leader="underscore" w:pos="9249"/>
      </w:tabs>
      <w:spacing w:before="120"/>
      <w:jc w:val="both"/>
    </w:pPr>
    <w:rPr>
      <w:b/>
      <w:bCs/>
      <w:lang w:eastAsia="en-US"/>
    </w:rPr>
  </w:style>
  <w:style w:type="paragraph" w:styleId="Header">
    <w:name w:val="header"/>
    <w:basedOn w:val="Normal"/>
    <w:link w:val="HeaderChar"/>
    <w:uiPriority w:val="99"/>
    <w:rsid w:val="000F799F"/>
    <w:pPr>
      <w:tabs>
        <w:tab w:val="center" w:pos="4153"/>
        <w:tab w:val="right" w:pos="8306"/>
      </w:tabs>
    </w:pPr>
    <w:rPr>
      <w:lang w:val="en-GB" w:eastAsia="en-US"/>
    </w:rPr>
  </w:style>
  <w:style w:type="character" w:customStyle="1" w:styleId="HeaderChar">
    <w:name w:val="Header Char"/>
    <w:link w:val="Header"/>
    <w:uiPriority w:val="99"/>
    <w:locked/>
    <w:rsid w:val="000F799F"/>
    <w:rPr>
      <w:rFonts w:ascii="Times New Roman" w:hAnsi="Times New Roman" w:cs="Times New Roman"/>
      <w:sz w:val="24"/>
      <w:szCs w:val="24"/>
      <w:lang w:val="en-GB" w:eastAsia="x-none"/>
    </w:rPr>
  </w:style>
  <w:style w:type="character" w:styleId="Strong">
    <w:name w:val="Strong"/>
    <w:qFormat/>
    <w:rsid w:val="000F799F"/>
    <w:rPr>
      <w:rFonts w:cs="Times New Roman"/>
      <w:b/>
      <w:bCs/>
    </w:rPr>
  </w:style>
  <w:style w:type="paragraph" w:customStyle="1" w:styleId="Text2">
    <w:name w:val="Text 2"/>
    <w:basedOn w:val="Normal"/>
    <w:rsid w:val="000F799F"/>
    <w:pPr>
      <w:widowControl w:val="0"/>
      <w:tabs>
        <w:tab w:val="left" w:pos="5767"/>
      </w:tabs>
      <w:suppressAutoHyphens/>
      <w:spacing w:after="240"/>
      <w:ind w:left="1202"/>
      <w:jc w:val="both"/>
    </w:pPr>
    <w:rPr>
      <w:rFonts w:ascii="Arial" w:hAnsi="Arial" w:cs="Arial"/>
      <w:sz w:val="20"/>
      <w:szCs w:val="20"/>
      <w:lang w:val="en-GB" w:eastAsia="ar-SA"/>
    </w:rPr>
  </w:style>
  <w:style w:type="paragraph" w:styleId="NoSpacing">
    <w:name w:val="No Spacing"/>
    <w:qFormat/>
    <w:rsid w:val="000F799F"/>
    <w:rPr>
      <w:rFonts w:cs="Calibri"/>
      <w:sz w:val="22"/>
      <w:szCs w:val="22"/>
    </w:rPr>
  </w:style>
  <w:style w:type="paragraph" w:customStyle="1" w:styleId="PartTitle">
    <w:name w:val="PartTitle"/>
    <w:basedOn w:val="Normal"/>
    <w:next w:val="Normal"/>
    <w:rsid w:val="000F799F"/>
    <w:pPr>
      <w:keepNext/>
      <w:pageBreakBefore/>
      <w:suppressAutoHyphens/>
      <w:spacing w:after="480"/>
      <w:jc w:val="center"/>
    </w:pPr>
    <w:rPr>
      <w:rFonts w:ascii="Arial" w:hAnsi="Arial" w:cs="Arial"/>
      <w:b/>
      <w:bCs/>
      <w:sz w:val="36"/>
      <w:szCs w:val="36"/>
      <w:lang w:eastAsia="ar-SA"/>
    </w:rPr>
  </w:style>
  <w:style w:type="paragraph" w:customStyle="1" w:styleId="RakstzRakstz1">
    <w:name w:val="Rakstz. Rakstz.1"/>
    <w:basedOn w:val="Normal"/>
    <w:rsid w:val="000F799F"/>
    <w:pPr>
      <w:spacing w:before="120" w:after="160" w:line="240" w:lineRule="exact"/>
      <w:ind w:firstLine="720"/>
      <w:jc w:val="both"/>
    </w:pPr>
    <w:rPr>
      <w:rFonts w:ascii="Verdana" w:hAnsi="Verdana" w:cs="Verdana"/>
      <w:sz w:val="20"/>
      <w:szCs w:val="20"/>
      <w:lang w:val="en-US" w:eastAsia="en-US"/>
    </w:rPr>
  </w:style>
  <w:style w:type="paragraph" w:styleId="ListParagraph">
    <w:name w:val="List Paragraph"/>
    <w:basedOn w:val="Normal"/>
    <w:uiPriority w:val="34"/>
    <w:qFormat/>
    <w:rsid w:val="000F799F"/>
    <w:pPr>
      <w:spacing w:after="200" w:line="276" w:lineRule="auto"/>
      <w:ind w:left="720"/>
    </w:pPr>
    <w:rPr>
      <w:rFonts w:ascii="Calibri" w:hAnsi="Calibri" w:cs="Calibri"/>
      <w:sz w:val="22"/>
      <w:szCs w:val="22"/>
      <w:lang w:eastAsia="en-US"/>
    </w:rPr>
  </w:style>
  <w:style w:type="character" w:customStyle="1" w:styleId="dkblueproduct1">
    <w:name w:val="dkblueproduct1"/>
    <w:rsid w:val="000F799F"/>
    <w:rPr>
      <w:rFonts w:ascii="Verdana" w:hAnsi="Verdana"/>
      <w:b/>
      <w:color w:val="auto"/>
      <w:sz w:val="23"/>
      <w:u w:val="none"/>
      <w:effect w:val="none"/>
    </w:rPr>
  </w:style>
  <w:style w:type="character" w:customStyle="1" w:styleId="apple-style-span">
    <w:name w:val="apple-style-span"/>
    <w:rsid w:val="000F799F"/>
    <w:rPr>
      <w:rFonts w:cs="Times New Roman"/>
    </w:rPr>
  </w:style>
  <w:style w:type="paragraph" w:customStyle="1" w:styleId="RakstzRakstz2">
    <w:name w:val="Rakstz. Rakstz.2"/>
    <w:basedOn w:val="Normal"/>
    <w:rsid w:val="00076C98"/>
    <w:pPr>
      <w:spacing w:before="120" w:after="160" w:line="240" w:lineRule="exact"/>
      <w:ind w:firstLine="720"/>
      <w:jc w:val="both"/>
    </w:pPr>
    <w:rPr>
      <w:rFonts w:ascii="Verdana" w:eastAsia="Times New Roman" w:hAnsi="Verdana" w:cs="Verdana"/>
      <w:sz w:val="20"/>
      <w:szCs w:val="20"/>
      <w:lang w:val="en-US" w:eastAsia="en-US"/>
    </w:rPr>
  </w:style>
  <w:style w:type="paragraph" w:customStyle="1" w:styleId="RakstzRakstz0">
    <w:name w:val="Rakstz. Rakstz."/>
    <w:basedOn w:val="Normal"/>
    <w:rsid w:val="00B3445B"/>
    <w:pPr>
      <w:spacing w:before="120" w:after="160" w:line="240" w:lineRule="exact"/>
      <w:ind w:firstLine="720"/>
      <w:jc w:val="both"/>
    </w:pPr>
    <w:rPr>
      <w:rFonts w:ascii="Verdana" w:eastAsia="Times New Roman" w:hAnsi="Verdana"/>
      <w:sz w:val="20"/>
      <w:szCs w:val="20"/>
      <w:lang w:val="en-US" w:eastAsia="en-US"/>
    </w:rPr>
  </w:style>
  <w:style w:type="character" w:customStyle="1" w:styleId="CharChar8">
    <w:name w:val="Char Char8"/>
    <w:locked/>
    <w:rsid w:val="00194F61"/>
    <w:rPr>
      <w:rFonts w:eastAsia="Calibri"/>
      <w:b/>
      <w:bCs/>
      <w:lang w:val="lv-LV" w:eastAsia="en-US" w:bidi="ar-SA"/>
    </w:rPr>
  </w:style>
  <w:style w:type="character" w:customStyle="1" w:styleId="CharChar7">
    <w:name w:val="Char Char7"/>
    <w:locked/>
    <w:rsid w:val="00194F61"/>
    <w:rPr>
      <w:rFonts w:eastAsia="Calibri"/>
      <w:b/>
      <w:bCs/>
      <w:sz w:val="26"/>
      <w:szCs w:val="26"/>
      <w:lang w:val="lv-LV" w:eastAsia="en-US" w:bidi="ar-SA"/>
    </w:rPr>
  </w:style>
  <w:style w:type="character" w:customStyle="1" w:styleId="CharChar5">
    <w:name w:val="Char Char5"/>
    <w:locked/>
    <w:rsid w:val="00194F61"/>
    <w:rPr>
      <w:rFonts w:eastAsia="Calibri"/>
      <w:sz w:val="24"/>
      <w:szCs w:val="24"/>
      <w:lang w:val="lv-LV" w:eastAsia="lv-LV" w:bidi="ar-SA"/>
    </w:rPr>
  </w:style>
  <w:style w:type="character" w:customStyle="1" w:styleId="CharChar3">
    <w:name w:val="Char Char3"/>
    <w:semiHidden/>
    <w:locked/>
    <w:rsid w:val="00194F61"/>
    <w:rPr>
      <w:rFonts w:eastAsia="Calibri"/>
      <w:lang w:val="en-GB" w:eastAsia="en-US" w:bidi="ar-SA"/>
    </w:rPr>
  </w:style>
  <w:style w:type="character" w:customStyle="1" w:styleId="CharChar2">
    <w:name w:val="Char Char2"/>
    <w:locked/>
    <w:rsid w:val="00194F61"/>
    <w:rPr>
      <w:rFonts w:eastAsia="Calibri"/>
      <w:i/>
      <w:iCs/>
      <w:sz w:val="24"/>
      <w:szCs w:val="24"/>
      <w:lang w:val="lv-LV" w:eastAsia="en-US" w:bidi="ar-SA"/>
    </w:rPr>
  </w:style>
  <w:style w:type="character" w:customStyle="1" w:styleId="BodyTextIndent3Char">
    <w:name w:val="Body Text Indent 3 Char"/>
    <w:link w:val="BodyTextIndent3"/>
    <w:locked/>
    <w:rsid w:val="00194F61"/>
    <w:rPr>
      <w:rFonts w:eastAsia="Calibri"/>
      <w:sz w:val="24"/>
      <w:szCs w:val="24"/>
      <w:lang w:val="en-GB" w:eastAsia="en-US" w:bidi="ar-SA"/>
    </w:rPr>
  </w:style>
  <w:style w:type="character" w:styleId="FollowedHyperlink">
    <w:name w:val="FollowedHyperlink"/>
    <w:locked/>
    <w:rsid w:val="00E60677"/>
    <w:rPr>
      <w:color w:val="800080"/>
      <w:u w:val="single"/>
    </w:rPr>
  </w:style>
  <w:style w:type="paragraph" w:customStyle="1" w:styleId="tv2131">
    <w:name w:val="tv2131"/>
    <w:basedOn w:val="Normal"/>
    <w:rsid w:val="00C006C5"/>
    <w:pPr>
      <w:spacing w:line="360" w:lineRule="auto"/>
      <w:ind w:firstLine="267"/>
    </w:pPr>
    <w:rPr>
      <w:rFonts w:eastAsia="Times New Roman"/>
      <w:color w:val="414142"/>
      <w:sz w:val="17"/>
      <w:szCs w:val="17"/>
    </w:rPr>
  </w:style>
  <w:style w:type="paragraph" w:styleId="BodyTextIndent3">
    <w:name w:val="Body Text Indent 3"/>
    <w:basedOn w:val="Normal"/>
    <w:link w:val="BodyTextIndent3Char"/>
    <w:locked/>
    <w:rsid w:val="00181877"/>
    <w:pPr>
      <w:spacing w:after="120"/>
      <w:ind w:left="283"/>
    </w:pPr>
    <w:rPr>
      <w:lang w:val="en-GB" w:eastAsia="en-US"/>
    </w:rPr>
  </w:style>
  <w:style w:type="character" w:customStyle="1" w:styleId="shorttext">
    <w:name w:val="short_text"/>
    <w:basedOn w:val="DefaultParagraphFont"/>
    <w:rsid w:val="00CA53A6"/>
  </w:style>
  <w:style w:type="character" w:customStyle="1" w:styleId="hps">
    <w:name w:val="hps"/>
    <w:basedOn w:val="DefaultParagraphFont"/>
    <w:rsid w:val="00CA53A6"/>
  </w:style>
  <w:style w:type="paragraph" w:styleId="BodyText">
    <w:name w:val="Body Text"/>
    <w:basedOn w:val="Normal"/>
    <w:link w:val="BodyTextChar"/>
    <w:locked/>
    <w:rsid w:val="0019716E"/>
    <w:pPr>
      <w:spacing w:after="120"/>
    </w:pPr>
  </w:style>
  <w:style w:type="character" w:customStyle="1" w:styleId="BodyTextChar">
    <w:name w:val="Body Text Char"/>
    <w:basedOn w:val="DefaultParagraphFont"/>
    <w:link w:val="BodyText"/>
    <w:rsid w:val="0019716E"/>
    <w:rPr>
      <w:rFonts w:ascii="Times New Roman" w:hAnsi="Times New Roman"/>
      <w:sz w:val="24"/>
      <w:szCs w:val="24"/>
    </w:rPr>
  </w:style>
  <w:style w:type="character" w:customStyle="1" w:styleId="colora">
    <w:name w:val="colora"/>
    <w:rsid w:val="0019716E"/>
    <w:rPr>
      <w:rFonts w:cs="Times New Roman"/>
    </w:rPr>
  </w:style>
  <w:style w:type="paragraph" w:styleId="NormalWeb">
    <w:name w:val="Normal (Web)"/>
    <w:basedOn w:val="Normal"/>
    <w:locked/>
    <w:rsid w:val="00A760BA"/>
    <w:pPr>
      <w:spacing w:before="100" w:beforeAutospacing="1" w:after="100" w:afterAutospacing="1"/>
    </w:pPr>
    <w:rPr>
      <w:rFonts w:eastAsia="Times New Roman"/>
      <w:color w:val="000000"/>
    </w:rPr>
  </w:style>
  <w:style w:type="paragraph" w:styleId="FootnoteText">
    <w:name w:val="footnote text"/>
    <w:basedOn w:val="Normal"/>
    <w:link w:val="FootnoteTextChar"/>
    <w:locked/>
    <w:rsid w:val="004F06C6"/>
    <w:rPr>
      <w:sz w:val="20"/>
      <w:szCs w:val="20"/>
    </w:rPr>
  </w:style>
  <w:style w:type="character" w:customStyle="1" w:styleId="FootnoteTextChar">
    <w:name w:val="Footnote Text Char"/>
    <w:basedOn w:val="DefaultParagraphFont"/>
    <w:link w:val="FootnoteText"/>
    <w:rsid w:val="004F06C6"/>
    <w:rPr>
      <w:rFonts w:ascii="Times New Roman" w:hAnsi="Times New Roman"/>
    </w:rPr>
  </w:style>
  <w:style w:type="character" w:styleId="FootnoteReference">
    <w:name w:val="footnote reference"/>
    <w:basedOn w:val="DefaultParagraphFont"/>
    <w:locked/>
    <w:rsid w:val="004F06C6"/>
    <w:rPr>
      <w:vertAlign w:val="superscript"/>
    </w:rPr>
  </w:style>
  <w:style w:type="character" w:styleId="CommentReference">
    <w:name w:val="annotation reference"/>
    <w:basedOn w:val="DefaultParagraphFont"/>
    <w:locked/>
    <w:rsid w:val="00013590"/>
    <w:rPr>
      <w:sz w:val="16"/>
      <w:szCs w:val="16"/>
    </w:rPr>
  </w:style>
  <w:style w:type="paragraph" w:styleId="CommentSubject">
    <w:name w:val="annotation subject"/>
    <w:basedOn w:val="CommentText"/>
    <w:next w:val="CommentText"/>
    <w:link w:val="CommentSubjectChar"/>
    <w:locked/>
    <w:rsid w:val="00013590"/>
    <w:rPr>
      <w:b/>
      <w:bCs/>
      <w:lang w:val="lv-LV" w:eastAsia="lv-LV"/>
    </w:rPr>
  </w:style>
  <w:style w:type="character" w:customStyle="1" w:styleId="CommentSubjectChar">
    <w:name w:val="Comment Subject Char"/>
    <w:basedOn w:val="CommentTextChar"/>
    <w:link w:val="CommentSubject"/>
    <w:rsid w:val="00013590"/>
    <w:rPr>
      <w:rFonts w:ascii="Times New Roman" w:hAnsi="Times New Roman" w:cs="Times New Roman"/>
      <w:b/>
      <w:bCs/>
      <w:sz w:val="20"/>
      <w:szCs w:val="20"/>
      <w:lang w:val="en-GB"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666FAC"/>
    <w:rPr>
      <w:rFonts w:ascii="Times New Roman" w:hAnsi="Times New Roman"/>
      <w:sz w:val="24"/>
      <w:szCs w:val="24"/>
    </w:rPr>
  </w:style>
  <w:style w:type="paragraph" w:styleId="Heading1">
    <w:name w:val="heading 1"/>
    <w:basedOn w:val="Normal"/>
    <w:next w:val="Normal"/>
    <w:link w:val="Heading1Char"/>
    <w:qFormat/>
    <w:rsid w:val="000F799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F799F"/>
    <w:pPr>
      <w:keepNext/>
      <w:jc w:val="both"/>
      <w:outlineLvl w:val="1"/>
    </w:pPr>
    <w:rPr>
      <w:b/>
      <w:bCs/>
      <w:sz w:val="20"/>
      <w:szCs w:val="20"/>
      <w:lang w:eastAsia="en-US"/>
    </w:rPr>
  </w:style>
  <w:style w:type="paragraph" w:styleId="Heading3">
    <w:name w:val="heading 3"/>
    <w:basedOn w:val="Normal"/>
    <w:next w:val="Normal"/>
    <w:link w:val="Heading3Char"/>
    <w:qFormat/>
    <w:rsid w:val="000F799F"/>
    <w:pPr>
      <w:keepNext/>
      <w:numPr>
        <w:numId w:val="2"/>
      </w:numPr>
      <w:jc w:val="center"/>
      <w:outlineLvl w:val="2"/>
    </w:pPr>
    <w:rPr>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F799F"/>
    <w:rPr>
      <w:rFonts w:ascii="Arial" w:hAnsi="Arial" w:cs="Arial"/>
      <w:b/>
      <w:bCs/>
      <w:kern w:val="32"/>
      <w:sz w:val="32"/>
      <w:szCs w:val="32"/>
      <w:lang w:val="lv-LV" w:eastAsia="lv-LV"/>
    </w:rPr>
  </w:style>
  <w:style w:type="character" w:customStyle="1" w:styleId="Heading2Char">
    <w:name w:val="Heading 2 Char"/>
    <w:link w:val="Heading2"/>
    <w:locked/>
    <w:rsid w:val="000F799F"/>
    <w:rPr>
      <w:rFonts w:ascii="Times New Roman" w:hAnsi="Times New Roman" w:cs="Times New Roman"/>
      <w:b/>
      <w:bCs/>
      <w:sz w:val="24"/>
      <w:szCs w:val="24"/>
      <w:lang w:val="lv-LV" w:eastAsia="x-none"/>
    </w:rPr>
  </w:style>
  <w:style w:type="character" w:customStyle="1" w:styleId="Heading3Char">
    <w:name w:val="Heading 3 Char"/>
    <w:link w:val="Heading3"/>
    <w:locked/>
    <w:rsid w:val="000F799F"/>
    <w:rPr>
      <w:rFonts w:ascii="Times New Roman" w:hAnsi="Times New Roman" w:cs="Times New Roman"/>
      <w:b/>
      <w:bCs/>
      <w:sz w:val="20"/>
      <w:szCs w:val="20"/>
      <w:lang w:val="lv-LV" w:eastAsia="x-none"/>
    </w:rPr>
  </w:style>
  <w:style w:type="character" w:styleId="Hyperlink">
    <w:name w:val="Hyperlink"/>
    <w:uiPriority w:val="99"/>
    <w:rsid w:val="000F799F"/>
    <w:rPr>
      <w:rFonts w:cs="Times New Roman"/>
      <w:color w:val="0000FF"/>
      <w:u w:val="single"/>
    </w:rPr>
  </w:style>
  <w:style w:type="table" w:styleId="TableGrid">
    <w:name w:val="Table Grid"/>
    <w:basedOn w:val="TableNormal"/>
    <w:uiPriority w:val="59"/>
    <w:rsid w:val="000F799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F799F"/>
    <w:rPr>
      <w:rFonts w:ascii="Tahoma" w:hAnsi="Tahoma" w:cs="Tahoma"/>
      <w:sz w:val="16"/>
      <w:szCs w:val="16"/>
    </w:rPr>
  </w:style>
  <w:style w:type="character" w:customStyle="1" w:styleId="BalloonTextChar">
    <w:name w:val="Balloon Text Char"/>
    <w:link w:val="BalloonText"/>
    <w:semiHidden/>
    <w:locked/>
    <w:rsid w:val="000F799F"/>
    <w:rPr>
      <w:rFonts w:ascii="Tahoma" w:hAnsi="Tahoma" w:cs="Tahoma"/>
      <w:sz w:val="16"/>
      <w:szCs w:val="16"/>
      <w:lang w:val="lv-LV" w:eastAsia="lv-LV"/>
    </w:rPr>
  </w:style>
  <w:style w:type="paragraph" w:styleId="Footer">
    <w:name w:val="footer"/>
    <w:basedOn w:val="Normal"/>
    <w:link w:val="FooterChar"/>
    <w:uiPriority w:val="99"/>
    <w:rsid w:val="000F799F"/>
    <w:pPr>
      <w:tabs>
        <w:tab w:val="center" w:pos="4153"/>
        <w:tab w:val="right" w:pos="8306"/>
      </w:tabs>
    </w:pPr>
  </w:style>
  <w:style w:type="character" w:customStyle="1" w:styleId="FooterChar">
    <w:name w:val="Footer Char"/>
    <w:link w:val="Footer"/>
    <w:uiPriority w:val="99"/>
    <w:locked/>
    <w:rsid w:val="000F799F"/>
    <w:rPr>
      <w:rFonts w:ascii="Times New Roman" w:hAnsi="Times New Roman" w:cs="Times New Roman"/>
      <w:sz w:val="24"/>
      <w:szCs w:val="24"/>
      <w:lang w:val="lv-LV" w:eastAsia="lv-LV"/>
    </w:rPr>
  </w:style>
  <w:style w:type="character" w:styleId="PageNumber">
    <w:name w:val="page number"/>
    <w:rsid w:val="000F799F"/>
    <w:rPr>
      <w:rFonts w:cs="Times New Roman"/>
    </w:rPr>
  </w:style>
  <w:style w:type="paragraph" w:customStyle="1" w:styleId="naisf">
    <w:name w:val="naisf"/>
    <w:basedOn w:val="Normal"/>
    <w:rsid w:val="000F799F"/>
    <w:pPr>
      <w:spacing w:before="100" w:after="100"/>
      <w:jc w:val="both"/>
    </w:pPr>
    <w:rPr>
      <w:lang w:val="en-GB" w:eastAsia="en-US"/>
    </w:rPr>
  </w:style>
  <w:style w:type="paragraph" w:styleId="CommentText">
    <w:name w:val="annotation text"/>
    <w:basedOn w:val="Normal"/>
    <w:link w:val="CommentTextChar"/>
    <w:semiHidden/>
    <w:rsid w:val="000F799F"/>
    <w:rPr>
      <w:sz w:val="20"/>
      <w:szCs w:val="20"/>
      <w:lang w:val="en-GB" w:eastAsia="en-US"/>
    </w:rPr>
  </w:style>
  <w:style w:type="character" w:customStyle="1" w:styleId="CommentTextChar">
    <w:name w:val="Comment Text Char"/>
    <w:link w:val="CommentText"/>
    <w:semiHidden/>
    <w:locked/>
    <w:rsid w:val="000F799F"/>
    <w:rPr>
      <w:rFonts w:ascii="Times New Roman" w:hAnsi="Times New Roman" w:cs="Times New Roman"/>
      <w:sz w:val="20"/>
      <w:szCs w:val="20"/>
      <w:lang w:val="en-GB" w:eastAsia="x-none"/>
    </w:rPr>
  </w:style>
  <w:style w:type="paragraph" w:customStyle="1" w:styleId="RakstzRakstz">
    <w:name w:val="Rakstz. Rakstz."/>
    <w:basedOn w:val="Normal"/>
    <w:rsid w:val="000F799F"/>
    <w:pPr>
      <w:spacing w:before="120" w:after="160" w:line="240" w:lineRule="exact"/>
      <w:ind w:firstLine="720"/>
      <w:jc w:val="both"/>
    </w:pPr>
    <w:rPr>
      <w:rFonts w:ascii="Verdana" w:hAnsi="Verdana" w:cs="Verdana"/>
      <w:sz w:val="20"/>
      <w:szCs w:val="20"/>
      <w:lang w:val="en-US" w:eastAsia="en-US"/>
    </w:rPr>
  </w:style>
  <w:style w:type="paragraph" w:styleId="BodyText2">
    <w:name w:val="Body Text 2"/>
    <w:basedOn w:val="Normal"/>
    <w:link w:val="BodyText2Char"/>
    <w:rsid w:val="000F799F"/>
    <w:pPr>
      <w:jc w:val="center"/>
    </w:pPr>
    <w:rPr>
      <w:i/>
      <w:iCs/>
      <w:lang w:eastAsia="en-US"/>
    </w:rPr>
  </w:style>
  <w:style w:type="character" w:customStyle="1" w:styleId="BodyText2Char">
    <w:name w:val="Body Text 2 Char"/>
    <w:link w:val="BodyText2"/>
    <w:locked/>
    <w:rsid w:val="000F799F"/>
    <w:rPr>
      <w:rFonts w:ascii="Times New Roman" w:hAnsi="Times New Roman" w:cs="Times New Roman"/>
      <w:i/>
      <w:iCs/>
      <w:sz w:val="20"/>
      <w:szCs w:val="20"/>
      <w:lang w:val="lv-LV" w:eastAsia="x-none"/>
    </w:rPr>
  </w:style>
  <w:style w:type="paragraph" w:styleId="TOC1">
    <w:name w:val="toc 1"/>
    <w:basedOn w:val="Normal"/>
    <w:next w:val="Normal"/>
    <w:autoRedefine/>
    <w:semiHidden/>
    <w:rsid w:val="000F799F"/>
    <w:pPr>
      <w:tabs>
        <w:tab w:val="right" w:leader="underscore" w:pos="9249"/>
      </w:tabs>
      <w:spacing w:before="120"/>
      <w:jc w:val="both"/>
    </w:pPr>
    <w:rPr>
      <w:b/>
      <w:bCs/>
      <w:lang w:eastAsia="en-US"/>
    </w:rPr>
  </w:style>
  <w:style w:type="paragraph" w:styleId="Header">
    <w:name w:val="header"/>
    <w:basedOn w:val="Normal"/>
    <w:link w:val="HeaderChar"/>
    <w:uiPriority w:val="99"/>
    <w:rsid w:val="000F799F"/>
    <w:pPr>
      <w:tabs>
        <w:tab w:val="center" w:pos="4153"/>
        <w:tab w:val="right" w:pos="8306"/>
      </w:tabs>
    </w:pPr>
    <w:rPr>
      <w:lang w:val="en-GB" w:eastAsia="en-US"/>
    </w:rPr>
  </w:style>
  <w:style w:type="character" w:customStyle="1" w:styleId="HeaderChar">
    <w:name w:val="Header Char"/>
    <w:link w:val="Header"/>
    <w:uiPriority w:val="99"/>
    <w:locked/>
    <w:rsid w:val="000F799F"/>
    <w:rPr>
      <w:rFonts w:ascii="Times New Roman" w:hAnsi="Times New Roman" w:cs="Times New Roman"/>
      <w:sz w:val="24"/>
      <w:szCs w:val="24"/>
      <w:lang w:val="en-GB" w:eastAsia="x-none"/>
    </w:rPr>
  </w:style>
  <w:style w:type="character" w:styleId="Strong">
    <w:name w:val="Strong"/>
    <w:qFormat/>
    <w:rsid w:val="000F799F"/>
    <w:rPr>
      <w:rFonts w:cs="Times New Roman"/>
      <w:b/>
      <w:bCs/>
    </w:rPr>
  </w:style>
  <w:style w:type="paragraph" w:customStyle="1" w:styleId="Text2">
    <w:name w:val="Text 2"/>
    <w:basedOn w:val="Normal"/>
    <w:rsid w:val="000F799F"/>
    <w:pPr>
      <w:widowControl w:val="0"/>
      <w:tabs>
        <w:tab w:val="left" w:pos="5767"/>
      </w:tabs>
      <w:suppressAutoHyphens/>
      <w:spacing w:after="240"/>
      <w:ind w:left="1202"/>
      <w:jc w:val="both"/>
    </w:pPr>
    <w:rPr>
      <w:rFonts w:ascii="Arial" w:hAnsi="Arial" w:cs="Arial"/>
      <w:sz w:val="20"/>
      <w:szCs w:val="20"/>
      <w:lang w:val="en-GB" w:eastAsia="ar-SA"/>
    </w:rPr>
  </w:style>
  <w:style w:type="paragraph" w:styleId="NoSpacing">
    <w:name w:val="No Spacing"/>
    <w:qFormat/>
    <w:rsid w:val="000F799F"/>
    <w:rPr>
      <w:rFonts w:cs="Calibri"/>
      <w:sz w:val="22"/>
      <w:szCs w:val="22"/>
    </w:rPr>
  </w:style>
  <w:style w:type="paragraph" w:customStyle="1" w:styleId="PartTitle">
    <w:name w:val="PartTitle"/>
    <w:basedOn w:val="Normal"/>
    <w:next w:val="Normal"/>
    <w:rsid w:val="000F799F"/>
    <w:pPr>
      <w:keepNext/>
      <w:pageBreakBefore/>
      <w:suppressAutoHyphens/>
      <w:spacing w:after="480"/>
      <w:jc w:val="center"/>
    </w:pPr>
    <w:rPr>
      <w:rFonts w:ascii="Arial" w:hAnsi="Arial" w:cs="Arial"/>
      <w:b/>
      <w:bCs/>
      <w:sz w:val="36"/>
      <w:szCs w:val="36"/>
      <w:lang w:eastAsia="ar-SA"/>
    </w:rPr>
  </w:style>
  <w:style w:type="paragraph" w:customStyle="1" w:styleId="RakstzRakstz1">
    <w:name w:val="Rakstz. Rakstz.1"/>
    <w:basedOn w:val="Normal"/>
    <w:rsid w:val="000F799F"/>
    <w:pPr>
      <w:spacing w:before="120" w:after="160" w:line="240" w:lineRule="exact"/>
      <w:ind w:firstLine="720"/>
      <w:jc w:val="both"/>
    </w:pPr>
    <w:rPr>
      <w:rFonts w:ascii="Verdana" w:hAnsi="Verdana" w:cs="Verdana"/>
      <w:sz w:val="20"/>
      <w:szCs w:val="20"/>
      <w:lang w:val="en-US" w:eastAsia="en-US"/>
    </w:rPr>
  </w:style>
  <w:style w:type="paragraph" w:styleId="ListParagraph">
    <w:name w:val="List Paragraph"/>
    <w:basedOn w:val="Normal"/>
    <w:uiPriority w:val="34"/>
    <w:qFormat/>
    <w:rsid w:val="000F799F"/>
    <w:pPr>
      <w:spacing w:after="200" w:line="276" w:lineRule="auto"/>
      <w:ind w:left="720"/>
    </w:pPr>
    <w:rPr>
      <w:rFonts w:ascii="Calibri" w:hAnsi="Calibri" w:cs="Calibri"/>
      <w:sz w:val="22"/>
      <w:szCs w:val="22"/>
      <w:lang w:eastAsia="en-US"/>
    </w:rPr>
  </w:style>
  <w:style w:type="character" w:customStyle="1" w:styleId="dkblueproduct1">
    <w:name w:val="dkblueproduct1"/>
    <w:rsid w:val="000F799F"/>
    <w:rPr>
      <w:rFonts w:ascii="Verdana" w:hAnsi="Verdana"/>
      <w:b/>
      <w:color w:val="auto"/>
      <w:sz w:val="23"/>
      <w:u w:val="none"/>
      <w:effect w:val="none"/>
    </w:rPr>
  </w:style>
  <w:style w:type="character" w:customStyle="1" w:styleId="apple-style-span">
    <w:name w:val="apple-style-span"/>
    <w:rsid w:val="000F799F"/>
    <w:rPr>
      <w:rFonts w:cs="Times New Roman"/>
    </w:rPr>
  </w:style>
  <w:style w:type="paragraph" w:customStyle="1" w:styleId="RakstzRakstz2">
    <w:name w:val="Rakstz. Rakstz.2"/>
    <w:basedOn w:val="Normal"/>
    <w:rsid w:val="00076C98"/>
    <w:pPr>
      <w:spacing w:before="120" w:after="160" w:line="240" w:lineRule="exact"/>
      <w:ind w:firstLine="720"/>
      <w:jc w:val="both"/>
    </w:pPr>
    <w:rPr>
      <w:rFonts w:ascii="Verdana" w:eastAsia="Times New Roman" w:hAnsi="Verdana" w:cs="Verdana"/>
      <w:sz w:val="20"/>
      <w:szCs w:val="20"/>
      <w:lang w:val="en-US" w:eastAsia="en-US"/>
    </w:rPr>
  </w:style>
  <w:style w:type="paragraph" w:customStyle="1" w:styleId="RakstzRakstz0">
    <w:name w:val="Rakstz. Rakstz."/>
    <w:basedOn w:val="Normal"/>
    <w:rsid w:val="00B3445B"/>
    <w:pPr>
      <w:spacing w:before="120" w:after="160" w:line="240" w:lineRule="exact"/>
      <w:ind w:firstLine="720"/>
      <w:jc w:val="both"/>
    </w:pPr>
    <w:rPr>
      <w:rFonts w:ascii="Verdana" w:eastAsia="Times New Roman" w:hAnsi="Verdana"/>
      <w:sz w:val="20"/>
      <w:szCs w:val="20"/>
      <w:lang w:val="en-US" w:eastAsia="en-US"/>
    </w:rPr>
  </w:style>
  <w:style w:type="character" w:customStyle="1" w:styleId="CharChar8">
    <w:name w:val="Char Char8"/>
    <w:locked/>
    <w:rsid w:val="00194F61"/>
    <w:rPr>
      <w:rFonts w:eastAsia="Calibri"/>
      <w:b/>
      <w:bCs/>
      <w:lang w:val="lv-LV" w:eastAsia="en-US" w:bidi="ar-SA"/>
    </w:rPr>
  </w:style>
  <w:style w:type="character" w:customStyle="1" w:styleId="CharChar7">
    <w:name w:val="Char Char7"/>
    <w:locked/>
    <w:rsid w:val="00194F61"/>
    <w:rPr>
      <w:rFonts w:eastAsia="Calibri"/>
      <w:b/>
      <w:bCs/>
      <w:sz w:val="26"/>
      <w:szCs w:val="26"/>
      <w:lang w:val="lv-LV" w:eastAsia="en-US" w:bidi="ar-SA"/>
    </w:rPr>
  </w:style>
  <w:style w:type="character" w:customStyle="1" w:styleId="CharChar5">
    <w:name w:val="Char Char5"/>
    <w:locked/>
    <w:rsid w:val="00194F61"/>
    <w:rPr>
      <w:rFonts w:eastAsia="Calibri"/>
      <w:sz w:val="24"/>
      <w:szCs w:val="24"/>
      <w:lang w:val="lv-LV" w:eastAsia="lv-LV" w:bidi="ar-SA"/>
    </w:rPr>
  </w:style>
  <w:style w:type="character" w:customStyle="1" w:styleId="CharChar3">
    <w:name w:val="Char Char3"/>
    <w:semiHidden/>
    <w:locked/>
    <w:rsid w:val="00194F61"/>
    <w:rPr>
      <w:rFonts w:eastAsia="Calibri"/>
      <w:lang w:val="en-GB" w:eastAsia="en-US" w:bidi="ar-SA"/>
    </w:rPr>
  </w:style>
  <w:style w:type="character" w:customStyle="1" w:styleId="CharChar2">
    <w:name w:val="Char Char2"/>
    <w:locked/>
    <w:rsid w:val="00194F61"/>
    <w:rPr>
      <w:rFonts w:eastAsia="Calibri"/>
      <w:i/>
      <w:iCs/>
      <w:sz w:val="24"/>
      <w:szCs w:val="24"/>
      <w:lang w:val="lv-LV" w:eastAsia="en-US" w:bidi="ar-SA"/>
    </w:rPr>
  </w:style>
  <w:style w:type="character" w:customStyle="1" w:styleId="BodyTextIndent3Char">
    <w:name w:val="Body Text Indent 3 Char"/>
    <w:link w:val="BodyTextIndent3"/>
    <w:locked/>
    <w:rsid w:val="00194F61"/>
    <w:rPr>
      <w:rFonts w:eastAsia="Calibri"/>
      <w:sz w:val="24"/>
      <w:szCs w:val="24"/>
      <w:lang w:val="en-GB" w:eastAsia="en-US" w:bidi="ar-SA"/>
    </w:rPr>
  </w:style>
  <w:style w:type="character" w:styleId="FollowedHyperlink">
    <w:name w:val="FollowedHyperlink"/>
    <w:locked/>
    <w:rsid w:val="00E60677"/>
    <w:rPr>
      <w:color w:val="800080"/>
      <w:u w:val="single"/>
    </w:rPr>
  </w:style>
  <w:style w:type="paragraph" w:customStyle="1" w:styleId="tv2131">
    <w:name w:val="tv2131"/>
    <w:basedOn w:val="Normal"/>
    <w:rsid w:val="00C006C5"/>
    <w:pPr>
      <w:spacing w:line="360" w:lineRule="auto"/>
      <w:ind w:firstLine="267"/>
    </w:pPr>
    <w:rPr>
      <w:rFonts w:eastAsia="Times New Roman"/>
      <w:color w:val="414142"/>
      <w:sz w:val="17"/>
      <w:szCs w:val="17"/>
    </w:rPr>
  </w:style>
  <w:style w:type="paragraph" w:styleId="BodyTextIndent3">
    <w:name w:val="Body Text Indent 3"/>
    <w:basedOn w:val="Normal"/>
    <w:link w:val="BodyTextIndent3Char"/>
    <w:locked/>
    <w:rsid w:val="00181877"/>
    <w:pPr>
      <w:spacing w:after="120"/>
      <w:ind w:left="283"/>
    </w:pPr>
    <w:rPr>
      <w:lang w:val="en-GB" w:eastAsia="en-US"/>
    </w:rPr>
  </w:style>
  <w:style w:type="character" w:customStyle="1" w:styleId="shorttext">
    <w:name w:val="short_text"/>
    <w:basedOn w:val="DefaultParagraphFont"/>
    <w:rsid w:val="00CA53A6"/>
  </w:style>
  <w:style w:type="character" w:customStyle="1" w:styleId="hps">
    <w:name w:val="hps"/>
    <w:basedOn w:val="DefaultParagraphFont"/>
    <w:rsid w:val="00CA53A6"/>
  </w:style>
  <w:style w:type="paragraph" w:styleId="BodyText">
    <w:name w:val="Body Text"/>
    <w:basedOn w:val="Normal"/>
    <w:link w:val="BodyTextChar"/>
    <w:locked/>
    <w:rsid w:val="0019716E"/>
    <w:pPr>
      <w:spacing w:after="120"/>
    </w:pPr>
  </w:style>
  <w:style w:type="character" w:customStyle="1" w:styleId="BodyTextChar">
    <w:name w:val="Body Text Char"/>
    <w:basedOn w:val="DefaultParagraphFont"/>
    <w:link w:val="BodyText"/>
    <w:rsid w:val="0019716E"/>
    <w:rPr>
      <w:rFonts w:ascii="Times New Roman" w:hAnsi="Times New Roman"/>
      <w:sz w:val="24"/>
      <w:szCs w:val="24"/>
    </w:rPr>
  </w:style>
  <w:style w:type="character" w:customStyle="1" w:styleId="colora">
    <w:name w:val="colora"/>
    <w:rsid w:val="0019716E"/>
    <w:rPr>
      <w:rFonts w:cs="Times New Roman"/>
    </w:rPr>
  </w:style>
  <w:style w:type="paragraph" w:styleId="NormalWeb">
    <w:name w:val="Normal (Web)"/>
    <w:basedOn w:val="Normal"/>
    <w:locked/>
    <w:rsid w:val="00A760BA"/>
    <w:pPr>
      <w:spacing w:before="100" w:beforeAutospacing="1" w:after="100" w:afterAutospacing="1"/>
    </w:pPr>
    <w:rPr>
      <w:rFonts w:eastAsia="Times New Roman"/>
      <w:color w:val="000000"/>
    </w:rPr>
  </w:style>
  <w:style w:type="paragraph" w:styleId="FootnoteText">
    <w:name w:val="footnote text"/>
    <w:basedOn w:val="Normal"/>
    <w:link w:val="FootnoteTextChar"/>
    <w:locked/>
    <w:rsid w:val="004F06C6"/>
    <w:rPr>
      <w:sz w:val="20"/>
      <w:szCs w:val="20"/>
    </w:rPr>
  </w:style>
  <w:style w:type="character" w:customStyle="1" w:styleId="FootnoteTextChar">
    <w:name w:val="Footnote Text Char"/>
    <w:basedOn w:val="DefaultParagraphFont"/>
    <w:link w:val="FootnoteText"/>
    <w:rsid w:val="004F06C6"/>
    <w:rPr>
      <w:rFonts w:ascii="Times New Roman" w:hAnsi="Times New Roman"/>
    </w:rPr>
  </w:style>
  <w:style w:type="character" w:styleId="FootnoteReference">
    <w:name w:val="footnote reference"/>
    <w:basedOn w:val="DefaultParagraphFont"/>
    <w:locked/>
    <w:rsid w:val="004F06C6"/>
    <w:rPr>
      <w:vertAlign w:val="superscript"/>
    </w:rPr>
  </w:style>
  <w:style w:type="character" w:styleId="CommentReference">
    <w:name w:val="annotation reference"/>
    <w:basedOn w:val="DefaultParagraphFont"/>
    <w:locked/>
    <w:rsid w:val="00013590"/>
    <w:rPr>
      <w:sz w:val="16"/>
      <w:szCs w:val="16"/>
    </w:rPr>
  </w:style>
  <w:style w:type="paragraph" w:styleId="CommentSubject">
    <w:name w:val="annotation subject"/>
    <w:basedOn w:val="CommentText"/>
    <w:next w:val="CommentText"/>
    <w:link w:val="CommentSubjectChar"/>
    <w:locked/>
    <w:rsid w:val="00013590"/>
    <w:rPr>
      <w:b/>
      <w:bCs/>
      <w:lang w:val="lv-LV" w:eastAsia="lv-LV"/>
    </w:rPr>
  </w:style>
  <w:style w:type="character" w:customStyle="1" w:styleId="CommentSubjectChar">
    <w:name w:val="Comment Subject Char"/>
    <w:basedOn w:val="CommentTextChar"/>
    <w:link w:val="CommentSubject"/>
    <w:rsid w:val="00013590"/>
    <w:rPr>
      <w:rFonts w:ascii="Times New Roman" w:hAnsi="Times New Roman" w:cs="Times New Roman"/>
      <w:b/>
      <w:bCs/>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506237">
      <w:bodyDiv w:val="1"/>
      <w:marLeft w:val="0"/>
      <w:marRight w:val="0"/>
      <w:marTop w:val="0"/>
      <w:marBottom w:val="0"/>
      <w:divBdr>
        <w:top w:val="none" w:sz="0" w:space="0" w:color="auto"/>
        <w:left w:val="none" w:sz="0" w:space="0" w:color="auto"/>
        <w:bottom w:val="none" w:sz="0" w:space="0" w:color="auto"/>
        <w:right w:val="none" w:sz="0" w:space="0" w:color="auto"/>
      </w:divBdr>
      <w:divsChild>
        <w:div w:id="1970014279">
          <w:marLeft w:val="0"/>
          <w:marRight w:val="0"/>
          <w:marTop w:val="0"/>
          <w:marBottom w:val="0"/>
          <w:divBdr>
            <w:top w:val="none" w:sz="0" w:space="0" w:color="auto"/>
            <w:left w:val="none" w:sz="0" w:space="0" w:color="auto"/>
            <w:bottom w:val="none" w:sz="0" w:space="0" w:color="auto"/>
            <w:right w:val="none" w:sz="0" w:space="0" w:color="auto"/>
          </w:divBdr>
          <w:divsChild>
            <w:div w:id="809664280">
              <w:marLeft w:val="0"/>
              <w:marRight w:val="0"/>
              <w:marTop w:val="0"/>
              <w:marBottom w:val="0"/>
              <w:divBdr>
                <w:top w:val="none" w:sz="0" w:space="0" w:color="auto"/>
                <w:left w:val="none" w:sz="0" w:space="0" w:color="auto"/>
                <w:bottom w:val="none" w:sz="0" w:space="0" w:color="auto"/>
                <w:right w:val="none" w:sz="0" w:space="0" w:color="auto"/>
              </w:divBdr>
              <w:divsChild>
                <w:div w:id="1316572010">
                  <w:marLeft w:val="0"/>
                  <w:marRight w:val="0"/>
                  <w:marTop w:val="0"/>
                  <w:marBottom w:val="0"/>
                  <w:divBdr>
                    <w:top w:val="none" w:sz="0" w:space="0" w:color="auto"/>
                    <w:left w:val="none" w:sz="0" w:space="0" w:color="auto"/>
                    <w:bottom w:val="none" w:sz="0" w:space="0" w:color="auto"/>
                    <w:right w:val="none" w:sz="0" w:space="0" w:color="auto"/>
                  </w:divBdr>
                  <w:divsChild>
                    <w:div w:id="1512523773">
                      <w:marLeft w:val="0"/>
                      <w:marRight w:val="0"/>
                      <w:marTop w:val="0"/>
                      <w:marBottom w:val="0"/>
                      <w:divBdr>
                        <w:top w:val="none" w:sz="0" w:space="0" w:color="auto"/>
                        <w:left w:val="none" w:sz="0" w:space="0" w:color="auto"/>
                        <w:bottom w:val="none" w:sz="0" w:space="0" w:color="auto"/>
                        <w:right w:val="none" w:sz="0" w:space="0" w:color="auto"/>
                      </w:divBdr>
                      <w:divsChild>
                        <w:div w:id="782113062">
                          <w:marLeft w:val="0"/>
                          <w:marRight w:val="0"/>
                          <w:marTop w:val="267"/>
                          <w:marBottom w:val="0"/>
                          <w:divBdr>
                            <w:top w:val="none" w:sz="0" w:space="0" w:color="auto"/>
                            <w:left w:val="none" w:sz="0" w:space="0" w:color="auto"/>
                            <w:bottom w:val="none" w:sz="0" w:space="0" w:color="auto"/>
                            <w:right w:val="none" w:sz="0" w:space="0" w:color="auto"/>
                          </w:divBdr>
                          <w:divsChild>
                            <w:div w:id="10884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372372">
      <w:bodyDiv w:val="1"/>
      <w:marLeft w:val="0"/>
      <w:marRight w:val="0"/>
      <w:marTop w:val="0"/>
      <w:marBottom w:val="0"/>
      <w:divBdr>
        <w:top w:val="none" w:sz="0" w:space="0" w:color="auto"/>
        <w:left w:val="none" w:sz="0" w:space="0" w:color="auto"/>
        <w:bottom w:val="none" w:sz="0" w:space="0" w:color="auto"/>
        <w:right w:val="none" w:sz="0" w:space="0" w:color="auto"/>
      </w:divBdr>
    </w:div>
    <w:div w:id="1135947024">
      <w:bodyDiv w:val="1"/>
      <w:marLeft w:val="0"/>
      <w:marRight w:val="0"/>
      <w:marTop w:val="0"/>
      <w:marBottom w:val="0"/>
      <w:divBdr>
        <w:top w:val="none" w:sz="0" w:space="0" w:color="auto"/>
        <w:left w:val="none" w:sz="0" w:space="0" w:color="auto"/>
        <w:bottom w:val="none" w:sz="0" w:space="0" w:color="auto"/>
        <w:right w:val="none" w:sz="0" w:space="0" w:color="auto"/>
      </w:divBdr>
    </w:div>
    <w:div w:id="1621912546">
      <w:bodyDiv w:val="1"/>
      <w:marLeft w:val="0"/>
      <w:marRight w:val="0"/>
      <w:marTop w:val="0"/>
      <w:marBottom w:val="0"/>
      <w:divBdr>
        <w:top w:val="none" w:sz="0" w:space="0" w:color="auto"/>
        <w:left w:val="none" w:sz="0" w:space="0" w:color="auto"/>
        <w:bottom w:val="none" w:sz="0" w:space="0" w:color="auto"/>
        <w:right w:val="none" w:sz="0" w:space="0" w:color="auto"/>
      </w:divBdr>
    </w:div>
    <w:div w:id="170493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nis.Pinnis@cfi.lu.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fi.lu.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SSP@cfi.lu.lv" TargetMode="External"/><Relationship Id="rId4" Type="http://schemas.microsoft.com/office/2007/relationships/stylesWithEffects" Target="stylesWithEffects.xml"/><Relationship Id="rId9" Type="http://schemas.openxmlformats.org/officeDocument/2006/relationships/hyperlink" Target="mailto:Janis.Pinnis@cfi.lu.lv" TargetMode="External"/><Relationship Id="rId14" Type="http://schemas.openxmlformats.org/officeDocument/2006/relationships/hyperlink" Target="http://likumi.lv/doc.php?id=133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F3EAE-C89A-4EDA-B885-A723003D8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14866</Words>
  <Characters>8474</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Uzaicinājums iepirkumam LU CFI 2012/20/ERAF</vt:lpstr>
    </vt:vector>
  </TitlesOfParts>
  <Company>CFI</Company>
  <LinksUpToDate>false</LinksUpToDate>
  <CharactersWithSpaces>23294</CharactersWithSpaces>
  <SharedDoc>false</SharedDoc>
  <HLinks>
    <vt:vector size="12" baseType="variant">
      <vt:variant>
        <vt:i4>5832781</vt:i4>
      </vt:variant>
      <vt:variant>
        <vt:i4>3</vt:i4>
      </vt:variant>
      <vt:variant>
        <vt:i4>0</vt:i4>
      </vt:variant>
      <vt:variant>
        <vt:i4>5</vt:i4>
      </vt:variant>
      <vt:variant>
        <vt:lpwstr>http://likumi.lv/doc.php?id=133536</vt:lpwstr>
      </vt:variant>
      <vt:variant>
        <vt:lpwstr>p67.1#p67.1</vt:lpwstr>
      </vt:variant>
      <vt:variant>
        <vt:i4>7536720</vt:i4>
      </vt:variant>
      <vt:variant>
        <vt:i4>0</vt:i4>
      </vt:variant>
      <vt:variant>
        <vt:i4>0</vt:i4>
      </vt:variant>
      <vt:variant>
        <vt:i4>5</vt:i4>
      </vt:variant>
      <vt:variant>
        <vt:lpwstr>mailto:Janis.Pinnis@cfi.lu.lv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Uzaicinājums iepirkumam LU CFI 2012/20/ERAF</dc:title>
  <dc:creator>Edgars</dc:creator>
  <cp:lastModifiedBy>Janis Pinnis</cp:lastModifiedBy>
  <cp:revision>2</cp:revision>
  <cp:lastPrinted>2015-11-27T14:20:00Z</cp:lastPrinted>
  <dcterms:created xsi:type="dcterms:W3CDTF">2015-11-27T14:20:00Z</dcterms:created>
  <dcterms:modified xsi:type="dcterms:W3CDTF">2015-11-27T14:20:00Z</dcterms:modified>
</cp:coreProperties>
</file>