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0D5" w:rsidRDefault="00A910D5" w:rsidP="00A910D5">
      <w:pPr>
        <w:pStyle w:val="Header"/>
        <w:tabs>
          <w:tab w:val="center" w:pos="3828"/>
        </w:tabs>
        <w:jc w:val="center"/>
        <w:rPr>
          <w:rFonts w:ascii="Verdana" w:hAnsi="Verdana"/>
          <w:sz w:val="17"/>
          <w:szCs w:val="17"/>
        </w:rPr>
      </w:pPr>
      <w:bookmarkStart w:id="0" w:name="_Toc393635238"/>
      <w:bookmarkStart w:id="1" w:name="_Toc394562062"/>
      <w:r>
        <w:rPr>
          <w:rFonts w:ascii="Verdana" w:hAnsi="Verdana"/>
          <w:noProof/>
          <w:sz w:val="17"/>
          <w:szCs w:val="17"/>
          <w:lang w:val="en-US"/>
        </w:rPr>
        <w:drawing>
          <wp:inline distT="0" distB="0" distL="0" distR="0">
            <wp:extent cx="1200150" cy="609600"/>
            <wp:effectExtent l="19050" t="0" r="0" b="0"/>
            <wp:docPr id="8" name="Picture 1" descr="C:\Users\Ruta.Mihalovska\AppData\Local\Microsoft\Windows\Temporary Internet Files\Content.IE5\EDV3ZBR3\eraf_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ta.Mihalovska\AppData\Local\Microsoft\Windows\Temporary Internet Files\Content.IE5\EDV3ZBR3\eraf_m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rFonts w:ascii="Helvetica" w:hAnsi="Helvetica" w:cs="Helvetica"/>
          <w:noProof/>
          <w:color w:val="4D4D4D"/>
          <w:sz w:val="17"/>
          <w:szCs w:val="17"/>
          <w:lang w:val="en-US"/>
        </w:rPr>
        <w:drawing>
          <wp:inline distT="0" distB="0" distL="0" distR="0">
            <wp:extent cx="876300" cy="685800"/>
            <wp:effectExtent l="19050" t="0" r="0" b="0"/>
            <wp:docPr id="9" name="Picture 22" descr="es_logo_ar_parakstu_melnbal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s_logo_ar_parakstu_melnbalt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10D5">
        <w:rPr>
          <w:rFonts w:ascii="Verdana" w:hAnsi="Verdana"/>
          <w:sz w:val="17"/>
          <w:szCs w:val="17"/>
        </w:rPr>
        <w:t xml:space="preserve"> </w:t>
      </w:r>
      <w:r>
        <w:rPr>
          <w:rFonts w:ascii="Verdana" w:hAnsi="Verdana"/>
          <w:sz w:val="17"/>
          <w:szCs w:val="17"/>
        </w:rPr>
        <w:t xml:space="preserve">           </w:t>
      </w:r>
      <w:r>
        <w:rPr>
          <w:rFonts w:ascii="Verdana" w:hAnsi="Verdana"/>
          <w:noProof/>
          <w:sz w:val="17"/>
          <w:szCs w:val="17"/>
          <w:lang w:val="en-US"/>
        </w:rPr>
        <w:drawing>
          <wp:inline distT="0" distB="0" distL="0" distR="0">
            <wp:extent cx="1162050" cy="609600"/>
            <wp:effectExtent l="19050" t="0" r="0" b="0"/>
            <wp:docPr id="10" name="Picture 25" descr="http://www.viaa.gov.lv/images/news/10/4910/txt_20_4914_melnbalts_lv_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viaa.gov.lv/images/news/10/4910/txt_20_4914_melnbalts_lv_cop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336" cy="610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0D5" w:rsidRDefault="00A910D5" w:rsidP="00A910D5">
      <w:pPr>
        <w:pStyle w:val="Header"/>
        <w:tabs>
          <w:tab w:val="center" w:pos="3828"/>
        </w:tabs>
        <w:jc w:val="center"/>
      </w:pPr>
      <w:r w:rsidRPr="00A910D5">
        <w:rPr>
          <w:rFonts w:ascii="Verdana" w:hAnsi="Verdana"/>
          <w:noProof/>
          <w:sz w:val="17"/>
          <w:szCs w:val="17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3742690</wp:posOffset>
            </wp:positionH>
            <wp:positionV relativeFrom="paragraph">
              <wp:posOffset>67945</wp:posOffset>
            </wp:positionV>
            <wp:extent cx="1743075" cy="114300"/>
            <wp:effectExtent l="19050" t="0" r="9525" b="0"/>
            <wp:wrapNone/>
            <wp:docPr id="11" name="Picture 2" descr="es_fondu_saukl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_fondu_sauklis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5120" w:rsidRPr="005D3D0C" w:rsidRDefault="00BF5120" w:rsidP="00CD3008">
      <w:pPr>
        <w:pStyle w:val="Heading2"/>
        <w:numPr>
          <w:ilvl w:val="0"/>
          <w:numId w:val="0"/>
        </w:numPr>
        <w:rPr>
          <w:lang w:val="lv-LV"/>
        </w:rPr>
      </w:pPr>
      <w:r w:rsidRPr="005D3D0C">
        <w:rPr>
          <w:lang w:val="lv-LV"/>
        </w:rPr>
        <w:t>Detalizēto pārbaužu procedūru kopsavilkums</w:t>
      </w:r>
      <w:bookmarkEnd w:id="0"/>
      <w:bookmarkEnd w:id="1"/>
    </w:p>
    <w:tbl>
      <w:tblPr>
        <w:tblStyle w:val="LightList1"/>
        <w:tblW w:w="15026" w:type="dxa"/>
        <w:tblInd w:w="-294" w:type="dxa"/>
        <w:tblLook w:val="04A0" w:firstRow="1" w:lastRow="0" w:firstColumn="1" w:lastColumn="0" w:noHBand="0" w:noVBand="1"/>
      </w:tblPr>
      <w:tblGrid>
        <w:gridCol w:w="1219"/>
        <w:gridCol w:w="3743"/>
        <w:gridCol w:w="4796"/>
        <w:gridCol w:w="1701"/>
        <w:gridCol w:w="3567"/>
      </w:tblGrid>
      <w:tr w:rsidR="00BF5120" w:rsidRPr="006856EE" w:rsidTr="00FF60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shd w:val="clear" w:color="auto" w:fill="409DAD"/>
            <w:vAlign w:val="center"/>
          </w:tcPr>
          <w:p w:rsidR="00BF5120" w:rsidRPr="00AD32A0" w:rsidRDefault="00BF5120" w:rsidP="00AF189B">
            <w:pPr>
              <w:jc w:val="center"/>
              <w:rPr>
                <w:sz w:val="22"/>
                <w:szCs w:val="22"/>
                <w:lang w:val="lv-LV"/>
              </w:rPr>
            </w:pPr>
            <w:r w:rsidRPr="00AD32A0">
              <w:rPr>
                <w:sz w:val="22"/>
                <w:szCs w:val="22"/>
                <w:lang w:val="lv-LV"/>
              </w:rPr>
              <w:t xml:space="preserve">Nr. </w:t>
            </w:r>
            <w:r w:rsidRPr="00AD32A0">
              <w:rPr>
                <w:i/>
                <w:sz w:val="22"/>
                <w:szCs w:val="22"/>
                <w:lang w:val="lv-LV"/>
              </w:rPr>
              <w:t>Pārbaudes lapā</w:t>
            </w:r>
          </w:p>
        </w:tc>
        <w:tc>
          <w:tcPr>
            <w:tcW w:w="3743" w:type="dxa"/>
            <w:shd w:val="clear" w:color="auto" w:fill="409DAD"/>
            <w:vAlign w:val="center"/>
          </w:tcPr>
          <w:p w:rsidR="00BF5120" w:rsidRPr="00AD32A0" w:rsidRDefault="00BF5120" w:rsidP="00AF18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lv-LV"/>
              </w:rPr>
            </w:pPr>
            <w:r w:rsidRPr="00AD32A0">
              <w:rPr>
                <w:sz w:val="22"/>
                <w:szCs w:val="22"/>
                <w:lang w:val="lv-LV"/>
              </w:rPr>
              <w:t xml:space="preserve">Pārbaužu procedūras </w:t>
            </w:r>
          </w:p>
          <w:p w:rsidR="00BF5120" w:rsidRPr="00AD32A0" w:rsidRDefault="00BF5120" w:rsidP="00AF18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lv-LV"/>
              </w:rPr>
            </w:pPr>
            <w:r w:rsidRPr="00AD32A0">
              <w:rPr>
                <w:sz w:val="22"/>
                <w:szCs w:val="22"/>
                <w:lang w:val="lv-LV"/>
              </w:rPr>
              <w:t xml:space="preserve">(pilnu sarakstu skat. dokumentā </w:t>
            </w:r>
            <w:r w:rsidRPr="00AD32A0">
              <w:rPr>
                <w:i/>
                <w:sz w:val="22"/>
                <w:szCs w:val="22"/>
                <w:lang w:val="lv-LV"/>
              </w:rPr>
              <w:t>Pārbaudes lapa</w:t>
            </w:r>
            <w:r w:rsidRPr="00AD32A0">
              <w:rPr>
                <w:sz w:val="22"/>
                <w:szCs w:val="22"/>
                <w:lang w:val="lv-LV"/>
              </w:rPr>
              <w:t>)</w:t>
            </w:r>
          </w:p>
        </w:tc>
        <w:tc>
          <w:tcPr>
            <w:tcW w:w="4796" w:type="dxa"/>
            <w:tcBorders>
              <w:bottom w:val="single" w:sz="4" w:space="0" w:color="auto"/>
            </w:tcBorders>
            <w:shd w:val="clear" w:color="auto" w:fill="409DAD"/>
            <w:vAlign w:val="center"/>
          </w:tcPr>
          <w:p w:rsidR="00BF5120" w:rsidRPr="00AD32A0" w:rsidRDefault="00BF5120" w:rsidP="00AF18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lv-LV"/>
              </w:rPr>
            </w:pPr>
            <w:r w:rsidRPr="00AD32A0">
              <w:rPr>
                <w:sz w:val="22"/>
                <w:szCs w:val="22"/>
                <w:lang w:val="lv-LV"/>
              </w:rPr>
              <w:t>Pārbaudes veids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409DAD"/>
            <w:vAlign w:val="center"/>
          </w:tcPr>
          <w:p w:rsidR="00BF5120" w:rsidRPr="00AD32A0" w:rsidRDefault="0085616B" w:rsidP="00295E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Izlases</w:t>
            </w:r>
            <w:r w:rsidR="00986B13">
              <w:rPr>
                <w:sz w:val="22"/>
                <w:szCs w:val="22"/>
                <w:lang w:val="lv-LV"/>
              </w:rPr>
              <w:t xml:space="preserve"> bāze</w:t>
            </w:r>
          </w:p>
        </w:tc>
        <w:tc>
          <w:tcPr>
            <w:tcW w:w="3567" w:type="dxa"/>
            <w:tcBorders>
              <w:bottom w:val="single" w:sz="4" w:space="0" w:color="auto"/>
            </w:tcBorders>
            <w:shd w:val="clear" w:color="auto" w:fill="409DAD"/>
            <w:vAlign w:val="center"/>
          </w:tcPr>
          <w:p w:rsidR="00BF5120" w:rsidRPr="00AD32A0" w:rsidRDefault="006856EE" w:rsidP="006856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D</w:t>
            </w:r>
            <w:r w:rsidRPr="00AD32A0">
              <w:rPr>
                <w:sz w:val="22"/>
                <w:szCs w:val="22"/>
                <w:lang w:val="lv-LV"/>
              </w:rPr>
              <w:t>okumentu</w:t>
            </w:r>
            <w:r w:rsidR="00BF5120" w:rsidRPr="00AD32A0">
              <w:rPr>
                <w:sz w:val="22"/>
                <w:szCs w:val="22"/>
                <w:lang w:val="lv-LV"/>
              </w:rPr>
              <w:t>, izdruku vai aprēķinu saraksts</w:t>
            </w:r>
          </w:p>
        </w:tc>
      </w:tr>
      <w:tr w:rsidR="00BF5120" w:rsidRPr="00AD32A0" w:rsidTr="00FF6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6" w:type="dxa"/>
            <w:gridSpan w:val="5"/>
            <w:tcBorders>
              <w:right w:val="single" w:sz="4" w:space="0" w:color="auto"/>
            </w:tcBorders>
            <w:shd w:val="clear" w:color="auto" w:fill="99FFCC"/>
          </w:tcPr>
          <w:p w:rsidR="00BF5120" w:rsidRPr="00AD32A0" w:rsidRDefault="00BF5120" w:rsidP="00BF20A7">
            <w:pPr>
              <w:pStyle w:val="Bullet"/>
              <w:numPr>
                <w:ilvl w:val="0"/>
                <w:numId w:val="0"/>
              </w:numPr>
              <w:spacing w:beforeLines="40" w:before="96" w:afterLines="40" w:after="96"/>
              <w:jc w:val="both"/>
              <w:rPr>
                <w:rFonts w:cs="Times New Roman"/>
                <w:b w:val="0"/>
                <w:bCs w:val="0"/>
                <w:sz w:val="22"/>
                <w:lang w:val="lv-LV"/>
              </w:rPr>
            </w:pPr>
            <w:r w:rsidRPr="00AD32A0">
              <w:rPr>
                <w:rFonts w:cs="Times New Roman"/>
                <w:sz w:val="22"/>
                <w:lang w:val="lv-LV"/>
              </w:rPr>
              <w:t>Izmaksas</w:t>
            </w:r>
          </w:p>
        </w:tc>
      </w:tr>
      <w:tr w:rsidR="00BF5120" w:rsidRPr="00CE3491" w:rsidTr="00FF60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tcBorders>
              <w:right w:val="single" w:sz="4" w:space="0" w:color="auto"/>
            </w:tcBorders>
          </w:tcPr>
          <w:p w:rsidR="00BF5120" w:rsidRPr="00AD32A0" w:rsidRDefault="00BF5120" w:rsidP="00BF20A7">
            <w:pPr>
              <w:spacing w:beforeLines="40" w:before="96" w:afterLines="40" w:after="96"/>
              <w:jc w:val="center"/>
              <w:rPr>
                <w:b w:val="0"/>
                <w:bCs w:val="0"/>
                <w:sz w:val="22"/>
                <w:szCs w:val="22"/>
                <w:lang w:val="lv-LV"/>
              </w:rPr>
            </w:pPr>
            <w:r w:rsidRPr="00AD32A0">
              <w:rPr>
                <w:b w:val="0"/>
                <w:sz w:val="22"/>
                <w:szCs w:val="22"/>
                <w:lang w:val="lv-LV"/>
              </w:rPr>
              <w:t>1.1.</w:t>
            </w:r>
          </w:p>
        </w:tc>
        <w:tc>
          <w:tcPr>
            <w:tcW w:w="3743" w:type="dxa"/>
            <w:tcBorders>
              <w:right w:val="single" w:sz="4" w:space="0" w:color="auto"/>
            </w:tcBorders>
          </w:tcPr>
          <w:p w:rsidR="00BF5120" w:rsidRPr="00AD32A0" w:rsidRDefault="00BF5120" w:rsidP="00BF20A7">
            <w:pPr>
              <w:spacing w:beforeLines="40" w:before="96" w:afterLines="40" w:after="9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lv-LV"/>
              </w:rPr>
            </w:pPr>
            <w:r w:rsidRPr="00AD32A0">
              <w:rPr>
                <w:sz w:val="22"/>
                <w:szCs w:val="22"/>
                <w:lang w:val="lv-LV"/>
              </w:rPr>
              <w:t>Tiek nodrošināta PO nesaimnieciskās pamatdarbības, saimnieciskās pamatdarbības un pārējās saimnieciskās darbības finanšu plūsmu nodalīšana izmaksām.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20" w:rsidRPr="00AD32A0" w:rsidRDefault="00BF5120" w:rsidP="00BF20A7">
            <w:pPr>
              <w:spacing w:beforeLines="40" w:before="96" w:afterLines="40" w:after="9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lv-LV"/>
              </w:rPr>
            </w:pPr>
            <w:r w:rsidRPr="00AD32A0">
              <w:rPr>
                <w:sz w:val="22"/>
                <w:szCs w:val="22"/>
                <w:lang w:val="lv-LV"/>
              </w:rPr>
              <w:t>Detalizētā metode (salīdzināt transakcijas pret attaisnojuma dokumentiem un pārbaudīt vai grāmatojumu klasifikācija ir atbilstoša).</w:t>
            </w:r>
          </w:p>
          <w:p w:rsidR="00BF5120" w:rsidRPr="00AD32A0" w:rsidRDefault="00BF5120" w:rsidP="00BF20A7">
            <w:pPr>
              <w:spacing w:beforeLines="40" w:before="96" w:afterLines="20" w:after="4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lv-LV"/>
              </w:rPr>
            </w:pPr>
            <w:r w:rsidRPr="00AD32A0">
              <w:rPr>
                <w:sz w:val="22"/>
                <w:szCs w:val="22"/>
                <w:lang w:val="lv-LV"/>
              </w:rPr>
              <w:t>Atsevišķi tiek pārbaudīta datu kopa:</w:t>
            </w:r>
          </w:p>
          <w:p w:rsidR="00BF5120" w:rsidRPr="00AD32A0" w:rsidRDefault="00BF5120" w:rsidP="00BF20A7">
            <w:pPr>
              <w:pStyle w:val="Bullet"/>
              <w:spacing w:beforeLines="20" w:before="48" w:afterLines="20" w:after="48"/>
              <w:ind w:left="32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lang w:val="lv-LV"/>
              </w:rPr>
            </w:pPr>
            <w:r w:rsidRPr="00AD32A0">
              <w:rPr>
                <w:rFonts w:cs="Times New Roman"/>
                <w:sz w:val="22"/>
                <w:lang w:val="lv-LV"/>
              </w:rPr>
              <w:t>Visas PO izmaksas, atskaitot nolietojumu.</w:t>
            </w:r>
          </w:p>
          <w:p w:rsidR="00BF5120" w:rsidRPr="00AD32A0" w:rsidRDefault="00BF5120" w:rsidP="00BF20A7">
            <w:pPr>
              <w:pStyle w:val="Bullet"/>
              <w:numPr>
                <w:ilvl w:val="0"/>
                <w:numId w:val="0"/>
              </w:numPr>
              <w:spacing w:beforeLines="20" w:before="48" w:afterLines="40" w:after="9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lang w:val="lv-LV"/>
              </w:rPr>
            </w:pPr>
            <w:r w:rsidRPr="00AD32A0">
              <w:rPr>
                <w:rFonts w:cs="Times New Roman"/>
                <w:sz w:val="22"/>
                <w:lang w:val="lv-LV"/>
              </w:rPr>
              <w:t>Pārbaude ietver izvēlēties arī rēķinus un salīdzināt pret grāmatvedības ierakstiem.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5120" w:rsidRPr="00AD32A0" w:rsidRDefault="00295E26" w:rsidP="00BF20A7">
            <w:pPr>
              <w:spacing w:beforeLines="40" w:before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Izmaksu transakcijas, v</w:t>
            </w:r>
            <w:r w:rsidR="00BF5120" w:rsidRPr="00AD32A0">
              <w:rPr>
                <w:sz w:val="22"/>
                <w:szCs w:val="22"/>
                <w:lang w:val="lv-LV"/>
              </w:rPr>
              <w:t>ismaz 1 no struktūrfondu projekta.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5120" w:rsidRPr="00AD32A0" w:rsidRDefault="00BF5120" w:rsidP="00BF20A7">
            <w:pPr>
              <w:pStyle w:val="Bullet"/>
              <w:spacing w:beforeLines="40" w:before="96" w:afterLines="40" w:after="96"/>
              <w:ind w:left="238" w:hanging="23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lang w:val="lv-LV"/>
              </w:rPr>
            </w:pPr>
            <w:r w:rsidRPr="00AD32A0">
              <w:rPr>
                <w:rFonts w:cs="Times New Roman"/>
                <w:sz w:val="22"/>
                <w:lang w:val="lv-LV"/>
              </w:rPr>
              <w:t>Izdruka no PO grāmatvedības sistēmas ar izmaksu detalizētu apgrozījumu (pa grāmatojumiem, ar visām grāmatvedības dimensijām) par pārskata periodu.</w:t>
            </w:r>
          </w:p>
        </w:tc>
      </w:tr>
      <w:tr w:rsidR="00BF5120" w:rsidRPr="00CE3491" w:rsidTr="00FF6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vMerge w:val="restart"/>
            <w:tcBorders>
              <w:right w:val="single" w:sz="4" w:space="0" w:color="auto"/>
            </w:tcBorders>
          </w:tcPr>
          <w:p w:rsidR="00BF5120" w:rsidRPr="00AD32A0" w:rsidRDefault="00BF5120" w:rsidP="00BF20A7">
            <w:pPr>
              <w:spacing w:beforeLines="40" w:before="96" w:afterLines="40" w:after="96"/>
              <w:jc w:val="center"/>
              <w:rPr>
                <w:b w:val="0"/>
                <w:bCs w:val="0"/>
                <w:sz w:val="22"/>
                <w:szCs w:val="22"/>
                <w:lang w:val="lv-LV"/>
              </w:rPr>
            </w:pPr>
            <w:r w:rsidRPr="00AD32A0">
              <w:rPr>
                <w:b w:val="0"/>
                <w:sz w:val="22"/>
                <w:szCs w:val="22"/>
                <w:lang w:val="lv-LV"/>
              </w:rPr>
              <w:t>1.2.</w:t>
            </w:r>
          </w:p>
        </w:tc>
        <w:tc>
          <w:tcPr>
            <w:tcW w:w="3743" w:type="dxa"/>
            <w:vMerge w:val="restart"/>
            <w:tcBorders>
              <w:right w:val="single" w:sz="4" w:space="0" w:color="auto"/>
            </w:tcBorders>
          </w:tcPr>
          <w:p w:rsidR="00BF5120" w:rsidRPr="00AD32A0" w:rsidRDefault="00BF5120" w:rsidP="00BF20A7">
            <w:pPr>
              <w:spacing w:beforeLines="40" w:before="96" w:afterLines="40" w:after="9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lv-LV"/>
              </w:rPr>
            </w:pPr>
            <w:r w:rsidRPr="00AD32A0">
              <w:rPr>
                <w:sz w:val="22"/>
                <w:szCs w:val="22"/>
                <w:lang w:val="lv-LV"/>
              </w:rPr>
              <w:t>Netiešās izmaksas tiek attiecinātas uz projektiem ievērojot PO grāmatvedības politikā noteiktos principus. Izmaksas tiek attiecinātas matemātiski pareizi.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20" w:rsidRPr="00AD32A0" w:rsidRDefault="00BF5120" w:rsidP="00BF20A7">
            <w:pPr>
              <w:spacing w:beforeLines="40" w:before="96" w:afterLines="20" w:after="4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lv-LV"/>
              </w:rPr>
            </w:pPr>
            <w:r w:rsidRPr="00AD32A0">
              <w:rPr>
                <w:sz w:val="22"/>
                <w:szCs w:val="22"/>
                <w:lang w:val="lv-LV"/>
              </w:rPr>
              <w:t>Detalizētā metode. Pārbaudes veids ir atkarīgs no tā vai aprēķins notiek automātiski vai manuāli:</w:t>
            </w:r>
          </w:p>
          <w:p w:rsidR="00BF5120" w:rsidRPr="00AD32A0" w:rsidRDefault="00BF5120" w:rsidP="00BF20A7">
            <w:pPr>
              <w:numPr>
                <w:ilvl w:val="0"/>
                <w:numId w:val="3"/>
              </w:numPr>
              <w:spacing w:beforeLines="20" w:before="48" w:afterLines="40" w:after="96"/>
              <w:ind w:left="295" w:hanging="29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lv-LV"/>
              </w:rPr>
            </w:pPr>
            <w:r w:rsidRPr="00AD32A0">
              <w:rPr>
                <w:sz w:val="22"/>
                <w:szCs w:val="22"/>
                <w:lang w:val="lv-LV"/>
              </w:rPr>
              <w:t>Manuāli (piemēram, izmantojot programmu MsExcel) – izskatīt pārbaudāmo failu, pārliecinoties par formulu pareizību. Salīdzināt MsExcel faila ievaddatu pareizumu salīdzinot pret informāciju grāmatvedībā.</w:t>
            </w:r>
          </w:p>
          <w:p w:rsidR="00BF5120" w:rsidRPr="00AD32A0" w:rsidRDefault="00BF5120" w:rsidP="00BF20A7">
            <w:pPr>
              <w:spacing w:beforeLines="20" w:before="48" w:afterLines="20" w:after="4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lv-LV"/>
              </w:rPr>
            </w:pPr>
            <w:r w:rsidRPr="00AD32A0">
              <w:rPr>
                <w:sz w:val="22"/>
                <w:szCs w:val="22"/>
                <w:lang w:val="lv-LV"/>
              </w:rPr>
              <w:t>Pārbaude ietver:</w:t>
            </w:r>
          </w:p>
          <w:p w:rsidR="00BF5120" w:rsidRPr="00AD32A0" w:rsidRDefault="00BF5120" w:rsidP="00BF20A7">
            <w:pPr>
              <w:pStyle w:val="Bullet"/>
              <w:spacing w:beforeLines="20" w:before="48" w:afterLines="20" w:after="48"/>
              <w:ind w:left="32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lang w:val="lv-LV"/>
              </w:rPr>
            </w:pPr>
            <w:r w:rsidRPr="00AD32A0">
              <w:rPr>
                <w:rFonts w:cs="Times New Roman"/>
                <w:sz w:val="22"/>
                <w:lang w:val="lv-LV"/>
              </w:rPr>
              <w:t>Pārbaude pret politiku;</w:t>
            </w:r>
          </w:p>
          <w:p w:rsidR="00BF5120" w:rsidRPr="00AD32A0" w:rsidRDefault="00BF5120" w:rsidP="00BF20A7">
            <w:pPr>
              <w:pStyle w:val="Bullet"/>
              <w:spacing w:beforeLines="20" w:before="48" w:afterLines="20" w:after="48"/>
              <w:ind w:left="32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lang w:val="lv-LV"/>
              </w:rPr>
            </w:pPr>
            <w:r w:rsidRPr="00AD32A0">
              <w:rPr>
                <w:rFonts w:cs="Times New Roman"/>
                <w:sz w:val="22"/>
                <w:lang w:val="lv-LV"/>
              </w:rPr>
              <w:t xml:space="preserve">Ievaddatu pārbaude (pret grāmatvedības </w:t>
            </w:r>
            <w:r w:rsidRPr="00AD32A0">
              <w:rPr>
                <w:rFonts w:cs="Times New Roman"/>
                <w:sz w:val="22"/>
                <w:lang w:val="lv-LV"/>
              </w:rPr>
              <w:lastRenderedPageBreak/>
              <w:t>atskaitēm)</w:t>
            </w:r>
          </w:p>
          <w:p w:rsidR="00BF5120" w:rsidRPr="00AD32A0" w:rsidRDefault="00BF5120" w:rsidP="00BF20A7">
            <w:pPr>
              <w:pStyle w:val="Bullet"/>
              <w:spacing w:beforeLines="20" w:before="48" w:afterLines="20" w:after="48"/>
              <w:ind w:left="32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lang w:val="lv-LV"/>
              </w:rPr>
            </w:pPr>
            <w:r w:rsidRPr="00AD32A0">
              <w:rPr>
                <w:rFonts w:cs="Times New Roman"/>
                <w:sz w:val="22"/>
                <w:lang w:val="lv-LV"/>
              </w:rPr>
              <w:t>Formulu pareizība.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5120" w:rsidRPr="00AD32A0" w:rsidRDefault="00295E26" w:rsidP="00BF20A7">
            <w:pPr>
              <w:spacing w:beforeLines="40" w:before="96" w:after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lastRenderedPageBreak/>
              <w:t>M</w:t>
            </w:r>
            <w:r w:rsidR="00BF5120" w:rsidRPr="00AD32A0">
              <w:rPr>
                <w:sz w:val="22"/>
                <w:szCs w:val="22"/>
                <w:lang w:val="lv-LV"/>
              </w:rPr>
              <w:t>ēne</w:t>
            </w:r>
            <w:r>
              <w:rPr>
                <w:sz w:val="22"/>
                <w:szCs w:val="22"/>
                <w:lang w:val="lv-LV"/>
              </w:rPr>
              <w:t>sis</w:t>
            </w:r>
            <w:r w:rsidR="00BF5120" w:rsidRPr="00AD32A0">
              <w:rPr>
                <w:sz w:val="22"/>
                <w:szCs w:val="22"/>
                <w:lang w:val="lv-LV"/>
              </w:rPr>
              <w:t xml:space="preserve"> </w:t>
            </w:r>
            <w:r>
              <w:rPr>
                <w:sz w:val="22"/>
                <w:szCs w:val="22"/>
                <w:lang w:val="lv-LV"/>
              </w:rPr>
              <w:t>(ja izmaksu bāze ir mēnesis)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5120" w:rsidRPr="00AD32A0" w:rsidRDefault="00BF5120" w:rsidP="00BF20A7">
            <w:pPr>
              <w:pStyle w:val="Bullet"/>
              <w:spacing w:beforeLines="40" w:before="96" w:afterLines="40" w:after="96"/>
              <w:ind w:left="238" w:hanging="23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lang w:val="lv-LV"/>
              </w:rPr>
            </w:pPr>
            <w:r w:rsidRPr="00AD32A0">
              <w:rPr>
                <w:rFonts w:cs="Times New Roman"/>
                <w:sz w:val="22"/>
                <w:lang w:val="lv-LV"/>
              </w:rPr>
              <w:t>Grāmatvedības politika;</w:t>
            </w:r>
          </w:p>
          <w:p w:rsidR="00BF5120" w:rsidRPr="00AD32A0" w:rsidRDefault="00BF5120" w:rsidP="00BF20A7">
            <w:pPr>
              <w:pStyle w:val="Bullet"/>
              <w:spacing w:beforeLines="40" w:before="96" w:afterLines="40" w:after="96"/>
              <w:ind w:left="238" w:hanging="23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lang w:val="lv-LV"/>
              </w:rPr>
            </w:pPr>
            <w:r w:rsidRPr="00AD32A0">
              <w:rPr>
                <w:rFonts w:cs="Times New Roman"/>
                <w:sz w:val="22"/>
                <w:lang w:val="lv-LV"/>
              </w:rPr>
              <w:t xml:space="preserve">Mēneša netiešo izmaksu aprēķins (MsExcel fails); </w:t>
            </w:r>
          </w:p>
          <w:p w:rsidR="00BF5120" w:rsidRPr="00AD32A0" w:rsidRDefault="00BF5120" w:rsidP="00BF20A7">
            <w:pPr>
              <w:pStyle w:val="Bullet"/>
              <w:spacing w:beforeLines="40" w:before="96" w:afterLines="40" w:after="96"/>
              <w:ind w:left="238" w:hanging="23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lang w:val="lv-LV"/>
              </w:rPr>
            </w:pPr>
            <w:r w:rsidRPr="00AD32A0">
              <w:rPr>
                <w:rFonts w:cs="Times New Roman"/>
                <w:sz w:val="22"/>
                <w:lang w:val="lv-LV"/>
              </w:rPr>
              <w:t>Netiešo izmaksu kopsumma par pārbaudāmajiem mēnešiem;</w:t>
            </w:r>
          </w:p>
          <w:p w:rsidR="00BF5120" w:rsidRPr="00AD32A0" w:rsidRDefault="00BF5120" w:rsidP="00BF20A7">
            <w:pPr>
              <w:pStyle w:val="Bullet"/>
              <w:spacing w:beforeLines="40" w:before="96" w:afterLines="40" w:after="96"/>
              <w:ind w:left="238" w:hanging="23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lang w:val="lv-LV"/>
              </w:rPr>
            </w:pPr>
            <w:r w:rsidRPr="00AD32A0">
              <w:rPr>
                <w:rFonts w:cs="Times New Roman"/>
                <w:sz w:val="22"/>
                <w:lang w:val="lv-LV"/>
              </w:rPr>
              <w:t xml:space="preserve">Pārskats par pārbaudāmā mēneša visu PO projektu tiešo izmaksu kopsummu (ja netiešās izmaksas tiek sadalītas uz projektiem balstoties uz tiešo izmaksu </w:t>
            </w:r>
            <w:r w:rsidRPr="00AD32A0">
              <w:rPr>
                <w:rFonts w:cs="Times New Roman"/>
                <w:sz w:val="22"/>
                <w:lang w:val="lv-LV"/>
              </w:rPr>
              <w:lastRenderedPageBreak/>
              <w:t>lieluma).</w:t>
            </w:r>
          </w:p>
        </w:tc>
      </w:tr>
      <w:tr w:rsidR="00BF5120" w:rsidRPr="00CE3491" w:rsidTr="00FF60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vMerge/>
            <w:tcBorders>
              <w:right w:val="single" w:sz="4" w:space="0" w:color="auto"/>
            </w:tcBorders>
          </w:tcPr>
          <w:p w:rsidR="00BF5120" w:rsidRPr="00AD32A0" w:rsidRDefault="00BF5120" w:rsidP="00BF20A7">
            <w:pPr>
              <w:spacing w:beforeLines="40" w:before="96" w:afterLines="40" w:after="96"/>
              <w:jc w:val="center"/>
              <w:rPr>
                <w:b w:val="0"/>
                <w:bCs w:val="0"/>
                <w:sz w:val="22"/>
                <w:szCs w:val="22"/>
                <w:lang w:val="lv-LV"/>
              </w:rPr>
            </w:pPr>
          </w:p>
        </w:tc>
        <w:tc>
          <w:tcPr>
            <w:tcW w:w="3743" w:type="dxa"/>
            <w:vMerge/>
            <w:tcBorders>
              <w:right w:val="single" w:sz="4" w:space="0" w:color="auto"/>
            </w:tcBorders>
          </w:tcPr>
          <w:p w:rsidR="00BF5120" w:rsidRPr="00AD32A0" w:rsidRDefault="00BF5120" w:rsidP="00BF20A7">
            <w:pPr>
              <w:spacing w:beforeLines="40" w:before="96" w:afterLines="40" w:after="9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lv-LV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20" w:rsidRPr="00AD32A0" w:rsidRDefault="00BF5120" w:rsidP="00BF20A7">
            <w:pPr>
              <w:numPr>
                <w:ilvl w:val="0"/>
                <w:numId w:val="3"/>
              </w:numPr>
              <w:spacing w:beforeLines="40" w:before="96" w:afterLines="40" w:after="96"/>
              <w:ind w:left="297" w:hanging="29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lv-LV"/>
              </w:rPr>
            </w:pPr>
            <w:r w:rsidRPr="00AD32A0">
              <w:rPr>
                <w:sz w:val="22"/>
                <w:szCs w:val="22"/>
                <w:lang w:val="lv-LV"/>
              </w:rPr>
              <w:t>Automātiski – pārbaudi var veikt izskatot programmas sākotnējo kodu vai visi algoritmi, saskaņā ar grāmatvedības politiku, ir iestrādāti programmā. Ja sākotnējo kodu tehniski nevar izskatīt, nepieciešams izstrādāt matemātisko modeli un pārbaudīt aprēķinu 1 mēnesim.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5120" w:rsidRPr="00AD32A0" w:rsidRDefault="00295E26" w:rsidP="00BF20A7">
            <w:pPr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Mēnesis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5120" w:rsidRPr="00AD32A0" w:rsidRDefault="00BF5120" w:rsidP="00BF20A7">
            <w:pPr>
              <w:pStyle w:val="Bullet"/>
              <w:spacing w:beforeLines="40" w:before="96" w:afterLines="40" w:after="96"/>
              <w:ind w:left="238" w:hanging="23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lang w:val="lv-LV"/>
              </w:rPr>
            </w:pPr>
            <w:r w:rsidRPr="00AD32A0">
              <w:rPr>
                <w:rFonts w:cs="Times New Roman"/>
                <w:sz w:val="22"/>
                <w:lang w:val="lv-LV"/>
              </w:rPr>
              <w:t>Pieeja pie sākotnējā koda;</w:t>
            </w:r>
          </w:p>
          <w:p w:rsidR="00BF5120" w:rsidRPr="00AD32A0" w:rsidRDefault="00BF5120" w:rsidP="00BF20A7">
            <w:pPr>
              <w:pStyle w:val="Bullet"/>
              <w:numPr>
                <w:ilvl w:val="0"/>
                <w:numId w:val="0"/>
              </w:numPr>
              <w:spacing w:beforeLines="40" w:before="96" w:afterLines="40" w:after="9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lang w:val="lv-LV"/>
              </w:rPr>
            </w:pPr>
            <w:r w:rsidRPr="00AD32A0">
              <w:rPr>
                <w:rFonts w:cs="Times New Roman"/>
                <w:sz w:val="22"/>
                <w:lang w:val="lv-LV"/>
              </w:rPr>
              <w:t>vai</w:t>
            </w:r>
          </w:p>
          <w:p w:rsidR="00BF5120" w:rsidRPr="00AD32A0" w:rsidRDefault="00BF5120" w:rsidP="00BF20A7">
            <w:pPr>
              <w:pStyle w:val="Bullet"/>
              <w:spacing w:beforeLines="40" w:before="96" w:afterLines="40" w:after="96"/>
              <w:ind w:left="238" w:hanging="23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lang w:val="lv-LV"/>
              </w:rPr>
            </w:pPr>
            <w:r w:rsidRPr="00AD32A0">
              <w:rPr>
                <w:rFonts w:cs="Times New Roman"/>
                <w:sz w:val="22"/>
                <w:lang w:val="lv-LV"/>
              </w:rPr>
              <w:t>Netiešo izmaksu kopsumma par pārbaudāmajiem mēnešiem;</w:t>
            </w:r>
          </w:p>
          <w:p w:rsidR="00BF5120" w:rsidRPr="00AD32A0" w:rsidRDefault="00BF5120" w:rsidP="00BF20A7">
            <w:pPr>
              <w:pStyle w:val="Bullet"/>
              <w:spacing w:beforeLines="40" w:before="96" w:afterLines="40" w:after="96"/>
              <w:ind w:left="238" w:hanging="23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lang w:val="lv-LV"/>
              </w:rPr>
            </w:pPr>
            <w:r w:rsidRPr="00AD32A0">
              <w:rPr>
                <w:rFonts w:cs="Times New Roman"/>
                <w:sz w:val="22"/>
                <w:lang w:val="lv-LV"/>
              </w:rPr>
              <w:t>Pārskats par pārbaudāmā mēneša visu PO projektu tiešo izmaksu kopsummu (ja netiešās izmaksas tiek sadalītas uz projektiem balstoties uz tiešo izmaksu lieluma).</w:t>
            </w:r>
          </w:p>
        </w:tc>
      </w:tr>
      <w:tr w:rsidR="00BF5120" w:rsidRPr="00CE3491" w:rsidTr="00FF6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tcBorders>
              <w:right w:val="single" w:sz="4" w:space="0" w:color="auto"/>
            </w:tcBorders>
          </w:tcPr>
          <w:p w:rsidR="00BF5120" w:rsidRPr="00AD32A0" w:rsidRDefault="00BF5120" w:rsidP="00BF20A7">
            <w:pPr>
              <w:spacing w:beforeLines="40" w:before="96" w:afterLines="40" w:after="96"/>
              <w:jc w:val="center"/>
              <w:rPr>
                <w:b w:val="0"/>
                <w:bCs w:val="0"/>
                <w:sz w:val="22"/>
                <w:szCs w:val="22"/>
                <w:lang w:val="lv-LV"/>
              </w:rPr>
            </w:pPr>
            <w:r w:rsidRPr="00AD32A0">
              <w:rPr>
                <w:b w:val="0"/>
                <w:sz w:val="22"/>
                <w:szCs w:val="22"/>
                <w:lang w:val="lv-LV"/>
              </w:rPr>
              <w:t>1.3.</w:t>
            </w:r>
          </w:p>
        </w:tc>
        <w:tc>
          <w:tcPr>
            <w:tcW w:w="3743" w:type="dxa"/>
            <w:tcBorders>
              <w:right w:val="single" w:sz="4" w:space="0" w:color="auto"/>
            </w:tcBorders>
          </w:tcPr>
          <w:p w:rsidR="00BF5120" w:rsidRPr="00AD32A0" w:rsidRDefault="00BF5120" w:rsidP="00BF20A7">
            <w:pPr>
              <w:spacing w:beforeLines="40" w:before="96" w:afterLines="40" w:after="9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lv-LV"/>
              </w:rPr>
            </w:pPr>
            <w:r w:rsidRPr="00AD32A0">
              <w:rPr>
                <w:sz w:val="22"/>
                <w:szCs w:val="22"/>
                <w:lang w:val="lv-LV"/>
              </w:rPr>
              <w:t>PO veic pakalpojumu, produktu, tehnoloģiju, prototipu un intelektuālo īpašumu pašizmaksas aprēķināšanu, piešķirot šiem līgumiem (peļņas centriem) atsevišķu grāmatvedības dimensiju.</w:t>
            </w:r>
          </w:p>
          <w:p w:rsidR="00BF5120" w:rsidRPr="00AD32A0" w:rsidRDefault="00BF5120" w:rsidP="00BF20A7">
            <w:pPr>
              <w:spacing w:beforeLines="40" w:before="96" w:afterLines="40" w:after="9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lv-LV"/>
              </w:rPr>
            </w:pPr>
            <w:r w:rsidRPr="00AD32A0">
              <w:rPr>
                <w:sz w:val="22"/>
                <w:szCs w:val="22"/>
                <w:lang w:val="lv-LV"/>
              </w:rPr>
              <w:t>PO pielietotā pakalpojumu, produktu, tehnoloģiju, prototipu un intelektuālo īpašumu pašizmaksas aprēķināšanas metode ir saskaņā ar PO grāmatvedības politikā noteiktajiem principiem ir matemātiski pareiza.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20" w:rsidRPr="00AD32A0" w:rsidRDefault="00BF5120" w:rsidP="00BF20A7">
            <w:pPr>
              <w:pStyle w:val="Bullet"/>
              <w:numPr>
                <w:ilvl w:val="0"/>
                <w:numId w:val="0"/>
              </w:numPr>
              <w:spacing w:beforeLines="40" w:before="96" w:afterLines="40" w:after="9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lang w:val="lv-LV"/>
              </w:rPr>
            </w:pPr>
            <w:r w:rsidRPr="00AD32A0">
              <w:rPr>
                <w:rFonts w:cs="Times New Roman"/>
                <w:sz w:val="22"/>
                <w:u w:val="single"/>
                <w:lang w:val="lv-LV"/>
              </w:rPr>
              <w:t>Detalizētā metode</w:t>
            </w:r>
            <w:r w:rsidRPr="00AD32A0">
              <w:rPr>
                <w:rFonts w:cs="Times New Roman"/>
                <w:sz w:val="22"/>
                <w:lang w:val="lv-LV"/>
              </w:rPr>
              <w:t xml:space="preserve">: </w:t>
            </w:r>
          </w:p>
          <w:p w:rsidR="00BF5120" w:rsidRPr="00AD32A0" w:rsidRDefault="00BF5120" w:rsidP="00BF20A7">
            <w:pPr>
              <w:numPr>
                <w:ilvl w:val="0"/>
                <w:numId w:val="4"/>
              </w:numPr>
              <w:spacing w:beforeLines="40" w:before="96" w:afterLines="40" w:after="96"/>
              <w:ind w:left="297" w:hanging="29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lv-LV"/>
              </w:rPr>
            </w:pPr>
            <w:r w:rsidRPr="00AD32A0">
              <w:rPr>
                <w:sz w:val="22"/>
                <w:szCs w:val="22"/>
                <w:lang w:val="lv-LV"/>
              </w:rPr>
              <w:t>Tiešo izmaksu attiecināšana uz projektu ir pārbaudīta procedūrā 1.1;</w:t>
            </w:r>
          </w:p>
          <w:p w:rsidR="00BF5120" w:rsidRPr="00AD32A0" w:rsidRDefault="00BF5120" w:rsidP="00BF20A7">
            <w:pPr>
              <w:numPr>
                <w:ilvl w:val="0"/>
                <w:numId w:val="4"/>
              </w:numPr>
              <w:spacing w:beforeLines="40" w:before="96" w:afterLines="40" w:after="96"/>
              <w:ind w:left="297" w:hanging="29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lv-LV"/>
              </w:rPr>
            </w:pPr>
            <w:r w:rsidRPr="00AD32A0">
              <w:rPr>
                <w:sz w:val="22"/>
                <w:szCs w:val="22"/>
                <w:lang w:val="lv-LV"/>
              </w:rPr>
              <w:t>Netiešo izmaksu attiecināšana uz projektu ir pārbaudīta procedūrā 1.2 – piedokumentējam šo pārbaudi 1 projekta ietvaros.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5120" w:rsidRPr="00AD32A0" w:rsidRDefault="00BF5120" w:rsidP="00BF20A7">
            <w:pPr>
              <w:spacing w:beforeLines="40" w:before="96" w:afterLines="40" w:after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lv-LV"/>
              </w:rPr>
            </w:pPr>
            <w:r w:rsidRPr="00AD32A0">
              <w:rPr>
                <w:sz w:val="22"/>
                <w:szCs w:val="22"/>
                <w:lang w:val="lv-LV"/>
              </w:rPr>
              <w:t>1 līguma pārbaude par pārskata gadu (no procedū</w:t>
            </w:r>
            <w:r w:rsidR="00AB273B">
              <w:rPr>
                <w:sz w:val="22"/>
                <w:szCs w:val="22"/>
                <w:lang w:val="lv-LV"/>
              </w:rPr>
              <w:t>ras 1.2) – sākotnējās izpratnes</w:t>
            </w:r>
            <w:r w:rsidRPr="00AD32A0">
              <w:rPr>
                <w:sz w:val="22"/>
                <w:szCs w:val="22"/>
                <w:lang w:val="lv-LV"/>
              </w:rPr>
              <w:t xml:space="preserve"> pārbaudes ietvaros.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5120" w:rsidRPr="00AD32A0" w:rsidRDefault="00BF5120" w:rsidP="00BF20A7">
            <w:pPr>
              <w:pStyle w:val="Bullet"/>
              <w:spacing w:beforeLines="40" w:before="96" w:afterLines="40" w:after="96"/>
              <w:ind w:left="238" w:hanging="23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lang w:val="lv-LV"/>
              </w:rPr>
            </w:pPr>
            <w:r w:rsidRPr="00AD32A0">
              <w:rPr>
                <w:rFonts w:cs="Times New Roman"/>
                <w:sz w:val="22"/>
                <w:lang w:val="lv-LV"/>
              </w:rPr>
              <w:t>1 atlasītā līguma detalizēts izmaksu apgrozījuma pārskats (no grāmatvedības sistēmas) par pārskata gadu.</w:t>
            </w:r>
          </w:p>
        </w:tc>
      </w:tr>
      <w:tr w:rsidR="00BF5120" w:rsidRPr="00AD32A0" w:rsidTr="00FF60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6" w:type="dxa"/>
            <w:gridSpan w:val="5"/>
            <w:tcBorders>
              <w:right w:val="single" w:sz="4" w:space="0" w:color="auto"/>
            </w:tcBorders>
            <w:shd w:val="clear" w:color="auto" w:fill="99FFCC"/>
          </w:tcPr>
          <w:p w:rsidR="00BF5120" w:rsidRPr="00AD32A0" w:rsidRDefault="00BF5120" w:rsidP="00BF20A7">
            <w:pPr>
              <w:pStyle w:val="Bullet"/>
              <w:numPr>
                <w:ilvl w:val="0"/>
                <w:numId w:val="0"/>
              </w:numPr>
              <w:spacing w:beforeLines="40" w:before="96" w:afterLines="40" w:after="96"/>
              <w:jc w:val="both"/>
              <w:rPr>
                <w:rFonts w:cs="Times New Roman"/>
                <w:b w:val="0"/>
                <w:bCs w:val="0"/>
                <w:sz w:val="22"/>
                <w:lang w:val="lv-LV"/>
              </w:rPr>
            </w:pPr>
            <w:r w:rsidRPr="00AD32A0">
              <w:rPr>
                <w:rFonts w:cs="Times New Roman"/>
                <w:sz w:val="22"/>
                <w:lang w:val="lv-LV"/>
              </w:rPr>
              <w:t>Ilgtermiņa aktīvi</w:t>
            </w:r>
          </w:p>
        </w:tc>
      </w:tr>
      <w:tr w:rsidR="00BF5120" w:rsidRPr="006856EE" w:rsidTr="00FF6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tcBorders>
              <w:right w:val="single" w:sz="4" w:space="0" w:color="auto"/>
            </w:tcBorders>
          </w:tcPr>
          <w:p w:rsidR="00BF5120" w:rsidRPr="00AD32A0" w:rsidRDefault="00BF5120" w:rsidP="00BF20A7">
            <w:pPr>
              <w:spacing w:beforeLines="40" w:before="96" w:afterLines="40" w:after="96"/>
              <w:jc w:val="center"/>
              <w:rPr>
                <w:b w:val="0"/>
                <w:bCs w:val="0"/>
                <w:sz w:val="22"/>
                <w:szCs w:val="22"/>
                <w:lang w:val="lv-LV"/>
              </w:rPr>
            </w:pPr>
            <w:r w:rsidRPr="00AD32A0">
              <w:rPr>
                <w:b w:val="0"/>
                <w:sz w:val="22"/>
                <w:szCs w:val="22"/>
                <w:lang w:val="lv-LV"/>
              </w:rPr>
              <w:t>2.1.</w:t>
            </w:r>
          </w:p>
        </w:tc>
        <w:tc>
          <w:tcPr>
            <w:tcW w:w="3743" w:type="dxa"/>
            <w:tcBorders>
              <w:right w:val="single" w:sz="4" w:space="0" w:color="auto"/>
            </w:tcBorders>
          </w:tcPr>
          <w:p w:rsidR="00BF5120" w:rsidRPr="00AD32A0" w:rsidRDefault="00BF5120" w:rsidP="00BF20A7">
            <w:pPr>
              <w:spacing w:beforeLines="40" w:before="96" w:afterLines="40" w:after="9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lv-LV"/>
              </w:rPr>
            </w:pPr>
            <w:r w:rsidRPr="00AD32A0">
              <w:rPr>
                <w:sz w:val="22"/>
                <w:szCs w:val="22"/>
                <w:lang w:val="lv-LV"/>
              </w:rPr>
              <w:t xml:space="preserve">Tiek nodrošināta PO nesaimnieciskās pamatdarbības, saimnieciskās pamatdarbības un pārējās saimnieciskās darbības finanšu plūsmu nodalīšana </w:t>
            </w:r>
            <w:r w:rsidRPr="00AD32A0">
              <w:rPr>
                <w:sz w:val="22"/>
                <w:szCs w:val="22"/>
                <w:lang w:val="lv-LV"/>
              </w:rPr>
              <w:lastRenderedPageBreak/>
              <w:t>ilgtermiņa aktīviem.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20" w:rsidRPr="00AD32A0" w:rsidRDefault="00BF5120" w:rsidP="00BF20A7">
            <w:pPr>
              <w:spacing w:beforeLines="40" w:before="96" w:afterLines="40" w:after="9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lv-LV"/>
              </w:rPr>
            </w:pPr>
            <w:r w:rsidRPr="00AD32A0">
              <w:rPr>
                <w:sz w:val="22"/>
                <w:szCs w:val="22"/>
                <w:lang w:val="lv-LV"/>
              </w:rPr>
              <w:lastRenderedPageBreak/>
              <w:t>Detalizētā metode (salīdzināt transakcijas pret attaisnojuma dokumentiem un pārbaudīt vai grāmatojumu klasifikācija ir atbilstoša).</w:t>
            </w:r>
          </w:p>
          <w:p w:rsidR="00BF5120" w:rsidRPr="00AD32A0" w:rsidRDefault="00BF5120" w:rsidP="00BF20A7">
            <w:pPr>
              <w:spacing w:beforeLines="40" w:before="96" w:afterLines="40" w:after="9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lv-LV"/>
              </w:rPr>
            </w:pPr>
            <w:r w:rsidRPr="00AD32A0">
              <w:rPr>
                <w:sz w:val="22"/>
                <w:szCs w:val="22"/>
                <w:lang w:val="lv-LV"/>
              </w:rPr>
              <w:lastRenderedPageBreak/>
              <w:t>Atsevišķi tiek pārbaudīta datu kopa:</w:t>
            </w:r>
          </w:p>
          <w:p w:rsidR="00BF5120" w:rsidRPr="00AD32A0" w:rsidRDefault="00BF5120" w:rsidP="00BF20A7">
            <w:pPr>
              <w:pStyle w:val="Bullet"/>
              <w:spacing w:beforeLines="40" w:before="96" w:afterLines="40" w:after="96"/>
              <w:ind w:left="3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lang w:val="lv-LV"/>
              </w:rPr>
            </w:pPr>
            <w:r w:rsidRPr="00AD32A0">
              <w:rPr>
                <w:rFonts w:cs="Times New Roman"/>
                <w:sz w:val="22"/>
                <w:lang w:val="lv-LV"/>
              </w:rPr>
              <w:t>Visi PO ilgtermiņa aktīvi.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20" w:rsidRPr="00AD32A0" w:rsidRDefault="00986B13" w:rsidP="00986B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lastRenderedPageBreak/>
              <w:t>Pamatlīdzekļu transakcijas, v</w:t>
            </w:r>
            <w:r w:rsidRPr="00AD32A0">
              <w:rPr>
                <w:sz w:val="22"/>
                <w:szCs w:val="22"/>
                <w:lang w:val="lv-LV"/>
              </w:rPr>
              <w:t xml:space="preserve">ismaz 1 no struktūrfondu </w:t>
            </w:r>
            <w:r w:rsidRPr="00AD32A0">
              <w:rPr>
                <w:sz w:val="22"/>
                <w:szCs w:val="22"/>
                <w:lang w:val="lv-LV"/>
              </w:rPr>
              <w:lastRenderedPageBreak/>
              <w:t>projekta.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20" w:rsidRPr="00AD32A0" w:rsidRDefault="006856EE" w:rsidP="00BF20A7">
            <w:pPr>
              <w:pStyle w:val="Bullet"/>
              <w:spacing w:beforeLines="40" w:before="96" w:afterLines="40" w:after="96"/>
              <w:ind w:left="238" w:hanging="23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lang w:val="lv-LV"/>
              </w:rPr>
            </w:pPr>
            <w:r>
              <w:rPr>
                <w:rFonts w:cs="Times New Roman"/>
                <w:sz w:val="22"/>
                <w:lang w:val="lv-LV"/>
              </w:rPr>
              <w:lastRenderedPageBreak/>
              <w:t>V</w:t>
            </w:r>
            <w:r w:rsidRPr="00AD32A0">
              <w:rPr>
                <w:rFonts w:cs="Times New Roman"/>
                <w:sz w:val="22"/>
                <w:lang w:val="lv-LV"/>
              </w:rPr>
              <w:t xml:space="preserve">isu </w:t>
            </w:r>
            <w:r w:rsidR="00AB273B">
              <w:rPr>
                <w:rFonts w:cs="Times New Roman"/>
                <w:sz w:val="22"/>
                <w:lang w:val="lv-LV"/>
              </w:rPr>
              <w:t>PO ilgtermiņa aktīvu saraksts.</w:t>
            </w:r>
          </w:p>
        </w:tc>
      </w:tr>
      <w:tr w:rsidR="00BF5120" w:rsidRPr="00CE3491" w:rsidTr="00FF60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vMerge w:val="restart"/>
            <w:tcBorders>
              <w:right w:val="single" w:sz="4" w:space="0" w:color="auto"/>
            </w:tcBorders>
          </w:tcPr>
          <w:p w:rsidR="00BF5120" w:rsidRPr="00AD32A0" w:rsidRDefault="00BF5120" w:rsidP="00BF20A7">
            <w:pPr>
              <w:spacing w:beforeLines="40" w:before="96" w:afterLines="40" w:after="96"/>
              <w:jc w:val="center"/>
              <w:rPr>
                <w:b w:val="0"/>
                <w:bCs w:val="0"/>
                <w:sz w:val="22"/>
                <w:szCs w:val="22"/>
                <w:lang w:val="lv-LV"/>
              </w:rPr>
            </w:pPr>
            <w:r w:rsidRPr="00AD32A0">
              <w:rPr>
                <w:b w:val="0"/>
                <w:sz w:val="22"/>
                <w:szCs w:val="22"/>
                <w:lang w:val="lv-LV"/>
              </w:rPr>
              <w:lastRenderedPageBreak/>
              <w:t>2.2.</w:t>
            </w:r>
          </w:p>
        </w:tc>
        <w:tc>
          <w:tcPr>
            <w:tcW w:w="3743" w:type="dxa"/>
            <w:vMerge w:val="restart"/>
            <w:tcBorders>
              <w:right w:val="single" w:sz="4" w:space="0" w:color="auto"/>
            </w:tcBorders>
          </w:tcPr>
          <w:p w:rsidR="00BF5120" w:rsidRPr="00AD32A0" w:rsidRDefault="00BF5120" w:rsidP="00BF20A7">
            <w:pPr>
              <w:spacing w:beforeLines="40" w:before="96" w:afterLines="40" w:after="9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lv-LV"/>
              </w:rPr>
            </w:pPr>
            <w:r w:rsidRPr="00AD32A0">
              <w:rPr>
                <w:sz w:val="22"/>
                <w:szCs w:val="22"/>
                <w:lang w:val="lv-LV"/>
              </w:rPr>
              <w:t>Nolietojums tiek sadalīts, balstoties uz pamatlīdzekļa izmantošanas vienību atskaiti (piemēram, mašīnstundu uzskaites kopsavilkums), ja to ir iespējams sadalīt tieši.</w:t>
            </w:r>
          </w:p>
          <w:p w:rsidR="00BF5120" w:rsidRPr="00AD32A0" w:rsidRDefault="00BF5120" w:rsidP="00BF20A7">
            <w:pPr>
              <w:spacing w:beforeLines="40" w:before="96" w:afterLines="40" w:after="9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lv-LV"/>
              </w:rPr>
            </w:pPr>
          </w:p>
          <w:p w:rsidR="00BF5120" w:rsidRPr="00AD32A0" w:rsidRDefault="00BF5120" w:rsidP="00BF20A7">
            <w:pPr>
              <w:spacing w:beforeLines="40" w:before="96" w:afterLines="40" w:after="9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lv-LV"/>
              </w:rPr>
            </w:pPr>
            <w:r w:rsidRPr="00AD32A0">
              <w:rPr>
                <w:sz w:val="22"/>
                <w:szCs w:val="22"/>
                <w:lang w:val="lv-LV"/>
              </w:rPr>
              <w:t>Infrastruktūras projektiem, kuriem  ir iespējams iepriekš objektīvi paredzēt ieņēmumus, tiek atbilstoši koriģēts nolietojuma apmērs (attiecināmās izmaksas)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20" w:rsidRPr="00AD32A0" w:rsidRDefault="00BF5120" w:rsidP="00BF20A7">
            <w:pPr>
              <w:spacing w:beforeLines="40" w:before="96" w:afterLines="40" w:after="9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lv-LV"/>
              </w:rPr>
            </w:pPr>
            <w:r w:rsidRPr="00AD32A0">
              <w:rPr>
                <w:sz w:val="22"/>
                <w:szCs w:val="22"/>
                <w:lang w:val="lv-LV"/>
              </w:rPr>
              <w:t>Detalizētā metode (nolietojuma (izmaksu) pārrēķins (vai nolietojums ir matemātiski pareizi aprēķināts)). Pārbaudes veids ir atkarīgs no tā vai aprēķins notiek automātiski vai manuāli:</w:t>
            </w:r>
          </w:p>
          <w:p w:rsidR="00BF5120" w:rsidRPr="00AD32A0" w:rsidRDefault="00BF5120" w:rsidP="00BF20A7">
            <w:pPr>
              <w:numPr>
                <w:ilvl w:val="0"/>
                <w:numId w:val="5"/>
              </w:numPr>
              <w:spacing w:beforeLines="40" w:before="96" w:afterLines="40" w:after="96"/>
              <w:ind w:left="297" w:hanging="29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lv-LV"/>
              </w:rPr>
            </w:pPr>
            <w:r w:rsidRPr="00AD32A0">
              <w:rPr>
                <w:sz w:val="22"/>
                <w:szCs w:val="22"/>
                <w:lang w:val="lv-LV"/>
              </w:rPr>
              <w:t>Automātiski – pārbaude par to vai grāmatvedības sistēma ir automātiski pareizi aprēķinājusi nolietojumu. Piemērotās likmes ir saskaņā ar grāmatvedības politiku.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20" w:rsidRPr="00AD32A0" w:rsidRDefault="00BF5120" w:rsidP="00BF20A7">
            <w:pPr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lv-LV"/>
              </w:rPr>
            </w:pPr>
          </w:p>
          <w:p w:rsidR="00BF5120" w:rsidRPr="00AD32A0" w:rsidRDefault="00BF5120" w:rsidP="00BF20A7">
            <w:pPr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lv-LV"/>
              </w:rPr>
            </w:pPr>
          </w:p>
          <w:p w:rsidR="00BF5120" w:rsidRPr="00AD32A0" w:rsidRDefault="00BF5120" w:rsidP="00BF20A7">
            <w:pPr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lv-LV"/>
              </w:rPr>
            </w:pPr>
          </w:p>
          <w:p w:rsidR="00BF5120" w:rsidRPr="00AD32A0" w:rsidRDefault="00BF5120" w:rsidP="00BF20A7">
            <w:pPr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lv-LV"/>
              </w:rPr>
            </w:pPr>
            <w:r w:rsidRPr="00AD32A0">
              <w:rPr>
                <w:sz w:val="22"/>
                <w:szCs w:val="22"/>
                <w:lang w:val="lv-LV"/>
              </w:rPr>
              <w:t>1 pamatlīdzeklis no katras nolietojuma grupas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20" w:rsidRPr="00AD32A0" w:rsidRDefault="00BF5120" w:rsidP="00BF20A7">
            <w:pPr>
              <w:pStyle w:val="Bullet"/>
              <w:spacing w:beforeLines="40" w:before="96" w:afterLines="40" w:after="96"/>
              <w:ind w:left="238" w:hanging="23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lang w:val="lv-LV"/>
              </w:rPr>
            </w:pPr>
            <w:r w:rsidRPr="00AD32A0">
              <w:rPr>
                <w:rFonts w:cs="Times New Roman"/>
                <w:sz w:val="22"/>
                <w:lang w:val="lv-LV"/>
              </w:rPr>
              <w:t xml:space="preserve">Pamatlīdzekļu reģistrs; </w:t>
            </w:r>
          </w:p>
          <w:p w:rsidR="00BF5120" w:rsidRPr="00AD32A0" w:rsidRDefault="00BF5120" w:rsidP="00BF20A7">
            <w:pPr>
              <w:pStyle w:val="Bullet"/>
              <w:spacing w:beforeLines="40" w:before="96" w:afterLines="40" w:after="96"/>
              <w:ind w:left="238" w:hanging="23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lang w:val="lv-LV"/>
              </w:rPr>
            </w:pPr>
            <w:r w:rsidRPr="00AD32A0">
              <w:rPr>
                <w:rFonts w:cs="Times New Roman"/>
                <w:sz w:val="22"/>
                <w:lang w:val="lv-LV"/>
              </w:rPr>
              <w:t>Visu PO pam</w:t>
            </w:r>
            <w:r w:rsidR="00AB273B">
              <w:rPr>
                <w:rFonts w:cs="Times New Roman"/>
                <w:sz w:val="22"/>
                <w:lang w:val="lv-LV"/>
              </w:rPr>
              <w:t>atlīdzekļu nolietojuma izmaksas.</w:t>
            </w:r>
          </w:p>
        </w:tc>
      </w:tr>
      <w:tr w:rsidR="00BF5120" w:rsidRPr="00AD32A0" w:rsidTr="00FF6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vMerge/>
            <w:tcBorders>
              <w:right w:val="single" w:sz="4" w:space="0" w:color="auto"/>
            </w:tcBorders>
          </w:tcPr>
          <w:p w:rsidR="00BF5120" w:rsidRPr="00AD32A0" w:rsidRDefault="00BF5120" w:rsidP="00BF20A7">
            <w:pPr>
              <w:spacing w:beforeLines="40" w:before="96" w:afterLines="40" w:after="96"/>
              <w:jc w:val="center"/>
              <w:rPr>
                <w:b w:val="0"/>
                <w:bCs w:val="0"/>
                <w:sz w:val="22"/>
                <w:szCs w:val="22"/>
                <w:lang w:val="lv-LV"/>
              </w:rPr>
            </w:pPr>
          </w:p>
        </w:tc>
        <w:tc>
          <w:tcPr>
            <w:tcW w:w="3743" w:type="dxa"/>
            <w:vMerge/>
            <w:tcBorders>
              <w:right w:val="single" w:sz="4" w:space="0" w:color="auto"/>
            </w:tcBorders>
          </w:tcPr>
          <w:p w:rsidR="00BF5120" w:rsidRPr="00AD32A0" w:rsidRDefault="00BF5120" w:rsidP="00BF20A7">
            <w:pPr>
              <w:pStyle w:val="Bullet"/>
              <w:numPr>
                <w:ilvl w:val="0"/>
                <w:numId w:val="0"/>
              </w:numPr>
              <w:spacing w:beforeLines="40" w:before="96" w:afterLines="40" w:after="9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lang w:val="lv-LV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20" w:rsidRPr="00AD32A0" w:rsidRDefault="00BF5120" w:rsidP="00BF20A7">
            <w:pPr>
              <w:numPr>
                <w:ilvl w:val="0"/>
                <w:numId w:val="5"/>
              </w:numPr>
              <w:spacing w:beforeLines="40" w:before="96" w:afterLines="40" w:after="96"/>
              <w:ind w:left="297" w:hanging="29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lv-LV"/>
              </w:rPr>
            </w:pPr>
            <w:r w:rsidRPr="00AD32A0">
              <w:rPr>
                <w:sz w:val="22"/>
                <w:szCs w:val="22"/>
                <w:lang w:val="lv-LV"/>
              </w:rPr>
              <w:t>Manuāli (piemēram, izmantojot programmu MsExcel) – izskatīt pārbaudāmo failu, pārliecinoties par formulu pareizību.</w:t>
            </w:r>
          </w:p>
          <w:p w:rsidR="00BF5120" w:rsidRPr="00AD32A0" w:rsidRDefault="00BF5120" w:rsidP="00BF20A7">
            <w:pPr>
              <w:spacing w:beforeLines="40" w:before="96" w:afterLines="40" w:after="9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lv-LV"/>
              </w:rPr>
            </w:pPr>
            <w:r w:rsidRPr="00AD32A0">
              <w:rPr>
                <w:sz w:val="22"/>
                <w:szCs w:val="22"/>
                <w:lang w:val="lv-LV"/>
              </w:rPr>
              <w:t>Atsevišķa pārbaude par to kā nolietojums tiek rēķināts pamatlīdzekļu uzlabojumiem.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20" w:rsidRPr="00AD32A0" w:rsidRDefault="00986B13" w:rsidP="00BF20A7">
            <w:pPr>
              <w:spacing w:beforeLines="40" w:before="96" w:afterLines="40" w:after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Mēnesis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20" w:rsidRPr="00AD32A0" w:rsidRDefault="00BF5120" w:rsidP="00BF20A7">
            <w:pPr>
              <w:pStyle w:val="Bullet"/>
              <w:spacing w:beforeLines="40" w:before="96" w:afterLines="40" w:after="96"/>
              <w:ind w:left="238" w:hanging="23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lang w:val="lv-LV"/>
              </w:rPr>
            </w:pPr>
            <w:r w:rsidRPr="00AD32A0">
              <w:rPr>
                <w:rFonts w:cs="Times New Roman"/>
                <w:sz w:val="22"/>
                <w:lang w:val="lv-LV"/>
              </w:rPr>
              <w:t>Pamatlīdzekļu nolietojuma aprēķina fails</w:t>
            </w:r>
          </w:p>
        </w:tc>
      </w:tr>
      <w:tr w:rsidR="00BF5120" w:rsidRPr="00AD32A0" w:rsidTr="00FF60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vMerge/>
            <w:tcBorders>
              <w:right w:val="single" w:sz="4" w:space="0" w:color="auto"/>
            </w:tcBorders>
          </w:tcPr>
          <w:p w:rsidR="00BF5120" w:rsidRPr="00AD32A0" w:rsidRDefault="00BF5120" w:rsidP="00BF20A7">
            <w:pPr>
              <w:spacing w:beforeLines="40" w:before="96" w:afterLines="40" w:after="96"/>
              <w:jc w:val="center"/>
              <w:rPr>
                <w:b w:val="0"/>
                <w:bCs w:val="0"/>
                <w:sz w:val="22"/>
                <w:szCs w:val="22"/>
                <w:lang w:val="lv-LV"/>
              </w:rPr>
            </w:pPr>
          </w:p>
        </w:tc>
        <w:tc>
          <w:tcPr>
            <w:tcW w:w="3743" w:type="dxa"/>
            <w:vMerge/>
            <w:tcBorders>
              <w:right w:val="single" w:sz="4" w:space="0" w:color="auto"/>
            </w:tcBorders>
          </w:tcPr>
          <w:p w:rsidR="00BF5120" w:rsidRPr="00AD32A0" w:rsidRDefault="00BF5120" w:rsidP="00BF20A7">
            <w:pPr>
              <w:pStyle w:val="Bullet"/>
              <w:numPr>
                <w:ilvl w:val="0"/>
                <w:numId w:val="0"/>
              </w:numPr>
              <w:spacing w:beforeLines="40" w:before="96" w:afterLines="40" w:after="96"/>
              <w:ind w:left="3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lang w:val="lv-LV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20" w:rsidRPr="00AD32A0" w:rsidRDefault="00BF5120" w:rsidP="00BF20A7">
            <w:pPr>
              <w:spacing w:beforeLines="40" w:before="96" w:afterLines="40" w:after="9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lv-LV"/>
              </w:rPr>
            </w:pPr>
            <w:r w:rsidRPr="00AD32A0">
              <w:rPr>
                <w:sz w:val="22"/>
                <w:szCs w:val="22"/>
                <w:lang w:val="lv-LV"/>
              </w:rPr>
              <w:t>Detalizētā metode (atlasītajiem pamatlīdzekļiem vai izmaksas uz projektiem tiek sadalītas balstoties uz pamatlīdzekļa izmantošanas vienību atskaiti). Pārbaudes veids ir atkarīgs no tā vai aprēķins notiek automātiski vai manuāli:</w:t>
            </w:r>
          </w:p>
          <w:p w:rsidR="00BF5120" w:rsidRPr="00AD32A0" w:rsidRDefault="00BF5120" w:rsidP="00BF20A7">
            <w:pPr>
              <w:numPr>
                <w:ilvl w:val="0"/>
                <w:numId w:val="6"/>
              </w:numPr>
              <w:spacing w:beforeLines="40" w:before="96" w:afterLines="40" w:after="96"/>
              <w:ind w:left="297" w:hanging="29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lv-LV"/>
              </w:rPr>
            </w:pPr>
            <w:r w:rsidRPr="00AD32A0">
              <w:rPr>
                <w:sz w:val="22"/>
                <w:szCs w:val="22"/>
                <w:shd w:val="clear" w:color="auto" w:fill="FFFFFF" w:themeFill="background1"/>
                <w:lang w:val="lv-LV"/>
              </w:rPr>
              <w:t>Manuāli (piemēram, izmantojot programmu MsExcel) – izskatīt pārbaudāmo failu, pārliecinoties par formulu pareizību atlasītajiem pamatlīdzekļiem.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6B" w:rsidRPr="00AD32A0" w:rsidRDefault="00BF5120" w:rsidP="00BF20A7">
            <w:pPr>
              <w:spacing w:beforeLines="40" w:before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lv-LV"/>
              </w:rPr>
            </w:pPr>
            <w:r w:rsidRPr="00AD32A0">
              <w:rPr>
                <w:sz w:val="22"/>
                <w:szCs w:val="22"/>
                <w:lang w:val="lv-LV"/>
              </w:rPr>
              <w:t>Pamatlīdzekļ</w:t>
            </w:r>
            <w:r w:rsidR="0085616B">
              <w:rPr>
                <w:sz w:val="22"/>
                <w:szCs w:val="22"/>
                <w:lang w:val="lv-LV"/>
              </w:rPr>
              <w:t>i</w:t>
            </w:r>
            <w:r w:rsidRPr="00AD32A0">
              <w:rPr>
                <w:sz w:val="22"/>
                <w:szCs w:val="22"/>
                <w:lang w:val="lv-LV"/>
              </w:rPr>
              <w:t xml:space="preserve">, pārbaude veicama </w:t>
            </w:r>
            <w:r w:rsidR="0085616B">
              <w:rPr>
                <w:sz w:val="22"/>
                <w:szCs w:val="22"/>
                <w:lang w:val="lv-LV"/>
              </w:rPr>
              <w:t>1</w:t>
            </w:r>
            <w:r w:rsidRPr="00AD32A0">
              <w:rPr>
                <w:sz w:val="22"/>
                <w:szCs w:val="22"/>
                <w:lang w:val="lv-LV"/>
              </w:rPr>
              <w:t xml:space="preserve"> mēne</w:t>
            </w:r>
            <w:r w:rsidR="0085616B">
              <w:rPr>
                <w:sz w:val="22"/>
                <w:szCs w:val="22"/>
                <w:lang w:val="lv-LV"/>
              </w:rPr>
              <w:t>sim</w:t>
            </w:r>
            <w:r w:rsidRPr="00AD32A0">
              <w:rPr>
                <w:sz w:val="22"/>
                <w:szCs w:val="22"/>
                <w:lang w:val="lv-LV"/>
              </w:rPr>
              <w:t xml:space="preserve"> </w:t>
            </w:r>
          </w:p>
          <w:p w:rsidR="00BF5120" w:rsidRPr="00AD32A0" w:rsidRDefault="00BF5120" w:rsidP="00AF1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lv-LV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20" w:rsidRPr="00AD32A0" w:rsidRDefault="00BF5120" w:rsidP="00BF20A7">
            <w:pPr>
              <w:pStyle w:val="Bullet"/>
              <w:spacing w:beforeLines="40" w:before="96" w:afterLines="40" w:after="96"/>
              <w:ind w:left="238" w:hanging="23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lang w:val="lv-LV"/>
              </w:rPr>
            </w:pPr>
            <w:r w:rsidRPr="00AD32A0">
              <w:rPr>
                <w:rFonts w:cs="Times New Roman"/>
                <w:sz w:val="22"/>
                <w:lang w:val="lv-LV"/>
              </w:rPr>
              <w:t>Mēneša nolietojuma sadales par projektiem aprēķins (MsExcel fails).</w:t>
            </w:r>
          </w:p>
        </w:tc>
      </w:tr>
      <w:tr w:rsidR="00BF5120" w:rsidRPr="00AD32A0" w:rsidTr="00FF6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vMerge/>
            <w:tcBorders>
              <w:right w:val="single" w:sz="4" w:space="0" w:color="auto"/>
            </w:tcBorders>
          </w:tcPr>
          <w:p w:rsidR="00BF5120" w:rsidRPr="00AD32A0" w:rsidRDefault="00BF5120" w:rsidP="00BF20A7">
            <w:pPr>
              <w:spacing w:beforeLines="40" w:before="96" w:afterLines="40" w:after="96"/>
              <w:jc w:val="center"/>
              <w:rPr>
                <w:b w:val="0"/>
                <w:bCs w:val="0"/>
                <w:sz w:val="22"/>
                <w:szCs w:val="22"/>
                <w:lang w:val="lv-LV"/>
              </w:rPr>
            </w:pPr>
          </w:p>
        </w:tc>
        <w:tc>
          <w:tcPr>
            <w:tcW w:w="3743" w:type="dxa"/>
            <w:vMerge/>
            <w:tcBorders>
              <w:right w:val="single" w:sz="4" w:space="0" w:color="auto"/>
            </w:tcBorders>
          </w:tcPr>
          <w:p w:rsidR="00BF5120" w:rsidRPr="00AD32A0" w:rsidRDefault="00BF5120" w:rsidP="00BF20A7">
            <w:pPr>
              <w:pStyle w:val="Bullet"/>
              <w:numPr>
                <w:ilvl w:val="0"/>
                <w:numId w:val="0"/>
              </w:numPr>
              <w:spacing w:beforeLines="40" w:before="96" w:afterLines="40" w:after="96"/>
              <w:ind w:left="3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lang w:val="lv-LV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5120" w:rsidRPr="00AD32A0" w:rsidRDefault="00BF5120" w:rsidP="00BF20A7">
            <w:pPr>
              <w:numPr>
                <w:ilvl w:val="0"/>
                <w:numId w:val="6"/>
              </w:numPr>
              <w:spacing w:beforeLines="40" w:before="96" w:afterLines="40" w:after="96"/>
              <w:ind w:left="297" w:hanging="29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lv-LV"/>
              </w:rPr>
            </w:pPr>
            <w:r w:rsidRPr="00AD32A0">
              <w:rPr>
                <w:sz w:val="22"/>
                <w:szCs w:val="22"/>
                <w:lang w:val="lv-LV"/>
              </w:rPr>
              <w:t xml:space="preserve">Automātiski – pārbaudi var veikt izskatot programmas sākotnējo kodu vai visi algoritmi, saskaņā ar grāmatvedības politiku, ir iestrādāti programmā. Ja sākotnējo kodu tehniski nevar izskatīt, nepieciešams izstrādāt matemātisko </w:t>
            </w:r>
            <w:r w:rsidRPr="00AD32A0">
              <w:rPr>
                <w:sz w:val="22"/>
                <w:szCs w:val="22"/>
                <w:lang w:val="lv-LV"/>
              </w:rPr>
              <w:lastRenderedPageBreak/>
              <w:t>modeli un pārbaudīt aprēķinu 1 mēnesim.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20" w:rsidRPr="00AD32A0" w:rsidRDefault="0085616B" w:rsidP="00BF20A7">
            <w:pPr>
              <w:spacing w:beforeLines="40" w:before="96" w:afterLines="40" w:after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lastRenderedPageBreak/>
              <w:t xml:space="preserve">Mēnesis 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20" w:rsidRPr="00AD32A0" w:rsidRDefault="00BF5120" w:rsidP="00BF20A7">
            <w:pPr>
              <w:pStyle w:val="Bullet"/>
              <w:spacing w:beforeLines="40" w:before="96" w:afterLines="40" w:after="96"/>
              <w:ind w:left="238" w:hanging="23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lang w:val="lv-LV"/>
              </w:rPr>
            </w:pPr>
            <w:r w:rsidRPr="00AD32A0">
              <w:rPr>
                <w:rFonts w:cs="Times New Roman"/>
                <w:sz w:val="22"/>
                <w:lang w:val="lv-LV"/>
              </w:rPr>
              <w:t>Pieeja pie sākotnējā koda;</w:t>
            </w:r>
          </w:p>
          <w:p w:rsidR="00BF5120" w:rsidRPr="00AD32A0" w:rsidRDefault="00BF5120" w:rsidP="00BF20A7">
            <w:pPr>
              <w:pStyle w:val="Bullet"/>
              <w:numPr>
                <w:ilvl w:val="0"/>
                <w:numId w:val="0"/>
              </w:numPr>
              <w:spacing w:beforeLines="40" w:before="96" w:afterLines="40" w:after="9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lang w:val="lv-LV"/>
              </w:rPr>
            </w:pPr>
            <w:r w:rsidRPr="00AD32A0">
              <w:rPr>
                <w:rFonts w:cs="Times New Roman"/>
                <w:sz w:val="22"/>
                <w:lang w:val="lv-LV"/>
              </w:rPr>
              <w:t>vai</w:t>
            </w:r>
          </w:p>
          <w:p w:rsidR="00BF5120" w:rsidRPr="00AD32A0" w:rsidRDefault="00BF5120" w:rsidP="00BF20A7">
            <w:pPr>
              <w:pStyle w:val="Bullet"/>
              <w:spacing w:beforeLines="40" w:before="96" w:afterLines="40" w:after="96"/>
              <w:ind w:left="238" w:hanging="23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lang w:val="lv-LV"/>
              </w:rPr>
            </w:pPr>
            <w:r w:rsidRPr="00AD32A0">
              <w:rPr>
                <w:rFonts w:cs="Times New Roman"/>
                <w:sz w:val="22"/>
                <w:lang w:val="lv-LV"/>
              </w:rPr>
              <w:t>Pamatlīdzekļa laika uzskaites karte.</w:t>
            </w:r>
          </w:p>
        </w:tc>
      </w:tr>
      <w:tr w:rsidR="00BF5120" w:rsidRPr="00CE3491" w:rsidTr="00FF60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vMerge/>
            <w:tcBorders>
              <w:right w:val="single" w:sz="4" w:space="0" w:color="auto"/>
            </w:tcBorders>
          </w:tcPr>
          <w:p w:rsidR="00BF5120" w:rsidRPr="00AD32A0" w:rsidRDefault="00BF5120" w:rsidP="00BF20A7">
            <w:pPr>
              <w:spacing w:beforeLines="40" w:before="96" w:afterLines="40" w:after="96"/>
              <w:jc w:val="center"/>
              <w:rPr>
                <w:b w:val="0"/>
                <w:bCs w:val="0"/>
                <w:sz w:val="22"/>
                <w:szCs w:val="22"/>
                <w:lang w:val="lv-LV"/>
              </w:rPr>
            </w:pPr>
          </w:p>
        </w:tc>
        <w:tc>
          <w:tcPr>
            <w:tcW w:w="3743" w:type="dxa"/>
            <w:vMerge/>
            <w:tcBorders>
              <w:right w:val="single" w:sz="4" w:space="0" w:color="auto"/>
            </w:tcBorders>
          </w:tcPr>
          <w:p w:rsidR="00BF5120" w:rsidRPr="00AD32A0" w:rsidRDefault="00BF5120" w:rsidP="00BF20A7">
            <w:pPr>
              <w:pStyle w:val="Bullet"/>
              <w:numPr>
                <w:ilvl w:val="0"/>
                <w:numId w:val="0"/>
              </w:numPr>
              <w:spacing w:beforeLines="40" w:before="96" w:afterLines="40" w:after="96"/>
              <w:ind w:left="3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lang w:val="lv-LV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20" w:rsidRPr="00AD32A0" w:rsidRDefault="00BF5120" w:rsidP="00BF20A7">
            <w:pPr>
              <w:spacing w:beforeLines="40" w:before="96" w:afterLines="40" w:after="9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lv-LV"/>
              </w:rPr>
            </w:pPr>
            <w:r w:rsidRPr="00AD32A0">
              <w:rPr>
                <w:sz w:val="22"/>
                <w:szCs w:val="22"/>
                <w:lang w:val="lv-LV"/>
              </w:rPr>
              <w:t>Ievaddatu un kontroļu pārbaudes procedūra: pamatlīdzekļu uz projektu attiecināto stundu salīdzināšana ar pamatlīdzekļa laika uzskaites kartēm. Pārbaude par to vai izvēlētās pamatlīdzekļu laika uzskaites kartes ir atbildīgās personas apstiprinātas.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20" w:rsidRPr="00AD32A0" w:rsidRDefault="0085616B" w:rsidP="00BF20A7">
            <w:pPr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Pamatlīdzekļi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20" w:rsidRPr="00AD32A0" w:rsidRDefault="00BF5120" w:rsidP="00BF20A7">
            <w:pPr>
              <w:pStyle w:val="Bullet"/>
              <w:spacing w:beforeLines="40" w:before="96" w:afterLines="40" w:after="96"/>
              <w:ind w:left="238" w:hanging="23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lang w:val="lv-LV"/>
              </w:rPr>
            </w:pPr>
            <w:r w:rsidRPr="00AD32A0">
              <w:rPr>
                <w:rFonts w:cs="Times New Roman"/>
                <w:sz w:val="22"/>
                <w:lang w:val="lv-LV"/>
              </w:rPr>
              <w:t>Izvēlēto pamatlīdzekļu laika uzskaites kartes.</w:t>
            </w:r>
          </w:p>
        </w:tc>
      </w:tr>
      <w:tr w:rsidR="00BF5120" w:rsidRPr="00CE3491" w:rsidTr="00FF6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tcBorders>
              <w:right w:val="single" w:sz="4" w:space="0" w:color="auto"/>
            </w:tcBorders>
          </w:tcPr>
          <w:p w:rsidR="00BF5120" w:rsidRPr="00AD32A0" w:rsidRDefault="00BF5120" w:rsidP="00BF20A7">
            <w:pPr>
              <w:spacing w:beforeLines="40" w:before="96" w:afterLines="40" w:after="96"/>
              <w:jc w:val="center"/>
              <w:rPr>
                <w:b w:val="0"/>
                <w:sz w:val="22"/>
                <w:szCs w:val="22"/>
                <w:lang w:val="lv-LV"/>
              </w:rPr>
            </w:pPr>
            <w:r w:rsidRPr="00AD32A0">
              <w:rPr>
                <w:b w:val="0"/>
                <w:sz w:val="22"/>
                <w:szCs w:val="22"/>
                <w:lang w:val="lv-LV"/>
              </w:rPr>
              <w:t>2.3.</w:t>
            </w:r>
          </w:p>
        </w:tc>
        <w:tc>
          <w:tcPr>
            <w:tcW w:w="3743" w:type="dxa"/>
            <w:tcBorders>
              <w:right w:val="single" w:sz="4" w:space="0" w:color="auto"/>
            </w:tcBorders>
          </w:tcPr>
          <w:p w:rsidR="00BF5120" w:rsidRPr="00AD32A0" w:rsidRDefault="00BF5120" w:rsidP="00BF20A7">
            <w:pPr>
              <w:spacing w:beforeLines="40" w:before="96" w:afterLines="40" w:after="9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lv-LV"/>
              </w:rPr>
            </w:pPr>
            <w:r w:rsidRPr="00AD32A0">
              <w:rPr>
                <w:sz w:val="22"/>
                <w:szCs w:val="22"/>
                <w:lang w:val="lv-LV"/>
              </w:rPr>
              <w:t>Nākamo periodu ieņēmumi tiek uzskaitīti un norakstīti saskaņā ar grāmatvedības uzskaites principiem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20" w:rsidRPr="00AD32A0" w:rsidRDefault="00BF5120" w:rsidP="00BF20A7">
            <w:pPr>
              <w:spacing w:beforeLines="40" w:before="96" w:afterLines="40" w:after="9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lv-LV"/>
              </w:rPr>
            </w:pPr>
            <w:r w:rsidRPr="00AD32A0">
              <w:rPr>
                <w:sz w:val="22"/>
                <w:szCs w:val="22"/>
                <w:lang w:val="lv-LV"/>
              </w:rPr>
              <w:t>Detalizētā metode salīdzinot izvēlēto pamatlīdzekļu pārskata perioda nolietojumu ar ieņēmumiem, kas norakstīti no nākamo periodu ieņēmumiem.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20" w:rsidRPr="00AD32A0" w:rsidRDefault="0085616B" w:rsidP="00AF1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S</w:t>
            </w:r>
            <w:r w:rsidR="00BF5120" w:rsidRPr="00AD32A0">
              <w:rPr>
                <w:sz w:val="22"/>
                <w:szCs w:val="22"/>
                <w:lang w:val="lv-LV"/>
              </w:rPr>
              <w:t>truktūrfondu finansētie ilgtermiņa aktīvi.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20" w:rsidRPr="00AD32A0" w:rsidRDefault="00BF5120" w:rsidP="00BF20A7">
            <w:pPr>
              <w:pStyle w:val="Bullet"/>
              <w:spacing w:beforeLines="40" w:before="96" w:afterLines="40" w:after="96"/>
              <w:ind w:left="238" w:hanging="23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lang w:val="lv-LV"/>
              </w:rPr>
            </w:pPr>
            <w:r w:rsidRPr="00AD32A0">
              <w:rPr>
                <w:rFonts w:cs="Times New Roman"/>
                <w:sz w:val="22"/>
                <w:lang w:val="lv-LV"/>
              </w:rPr>
              <w:t>Grāmatvedības izdruka salīdzinot pamatlīdzekļu nolietojumu ar norakstītiem ieņēmumiem no nākamo periodu ieņēmumiem.</w:t>
            </w:r>
          </w:p>
        </w:tc>
      </w:tr>
      <w:tr w:rsidR="00BF5120" w:rsidRPr="00AD32A0" w:rsidTr="00FF60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6" w:type="dxa"/>
            <w:gridSpan w:val="5"/>
            <w:tcBorders>
              <w:right w:val="single" w:sz="4" w:space="0" w:color="auto"/>
            </w:tcBorders>
            <w:shd w:val="clear" w:color="auto" w:fill="99FFCC"/>
          </w:tcPr>
          <w:p w:rsidR="00BF5120" w:rsidRPr="00AD32A0" w:rsidRDefault="00BF5120" w:rsidP="00BF20A7">
            <w:pPr>
              <w:pStyle w:val="Bullet"/>
              <w:numPr>
                <w:ilvl w:val="0"/>
                <w:numId w:val="0"/>
              </w:numPr>
              <w:spacing w:beforeLines="40" w:before="96" w:afterLines="40" w:after="96"/>
              <w:jc w:val="both"/>
              <w:rPr>
                <w:rFonts w:cs="Times New Roman"/>
                <w:sz w:val="22"/>
                <w:lang w:val="lv-LV"/>
              </w:rPr>
            </w:pPr>
            <w:r w:rsidRPr="00AD32A0">
              <w:rPr>
                <w:rFonts w:cs="Times New Roman"/>
                <w:sz w:val="22"/>
                <w:lang w:val="lv-LV"/>
              </w:rPr>
              <w:t>Ieņēmumi</w:t>
            </w:r>
          </w:p>
        </w:tc>
      </w:tr>
      <w:tr w:rsidR="00BF5120" w:rsidRPr="00CE3491" w:rsidTr="00FF6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tcBorders>
              <w:right w:val="single" w:sz="4" w:space="0" w:color="auto"/>
            </w:tcBorders>
          </w:tcPr>
          <w:p w:rsidR="00BF5120" w:rsidRPr="00AD32A0" w:rsidRDefault="00BF5120" w:rsidP="00BF20A7">
            <w:pPr>
              <w:spacing w:beforeLines="40" w:before="96" w:afterLines="40" w:after="96"/>
              <w:jc w:val="center"/>
              <w:rPr>
                <w:b w:val="0"/>
                <w:sz w:val="22"/>
                <w:szCs w:val="22"/>
                <w:lang w:val="lv-LV"/>
              </w:rPr>
            </w:pPr>
            <w:r w:rsidRPr="00AD32A0">
              <w:rPr>
                <w:b w:val="0"/>
                <w:sz w:val="22"/>
                <w:szCs w:val="22"/>
                <w:lang w:val="lv-LV"/>
              </w:rPr>
              <w:t>3.1.</w:t>
            </w:r>
          </w:p>
        </w:tc>
        <w:tc>
          <w:tcPr>
            <w:tcW w:w="3743" w:type="dxa"/>
            <w:tcBorders>
              <w:right w:val="single" w:sz="4" w:space="0" w:color="auto"/>
            </w:tcBorders>
          </w:tcPr>
          <w:p w:rsidR="00BF5120" w:rsidRPr="00AD32A0" w:rsidRDefault="00BF5120" w:rsidP="00BF20A7">
            <w:pPr>
              <w:spacing w:beforeLines="40" w:before="96" w:afterLines="40" w:after="9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lv-LV"/>
              </w:rPr>
            </w:pPr>
            <w:r w:rsidRPr="00AD32A0">
              <w:rPr>
                <w:sz w:val="22"/>
                <w:szCs w:val="22"/>
                <w:lang w:val="lv-LV"/>
              </w:rPr>
              <w:t>Tiek nodrošināta PO nesaimnieciskās pamatdarbības, saimnieciskās pamatdarbības un pārējās saimnieciskās darbības finanšu plūsmu nodalīšana ieņēmumiem.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20" w:rsidRPr="00AD32A0" w:rsidRDefault="00BF5120" w:rsidP="00BF20A7">
            <w:pPr>
              <w:spacing w:beforeLines="40" w:before="96" w:afterLines="40" w:after="9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lv-LV"/>
              </w:rPr>
            </w:pPr>
            <w:r w:rsidRPr="00AD32A0">
              <w:rPr>
                <w:sz w:val="22"/>
                <w:szCs w:val="22"/>
                <w:lang w:val="lv-LV"/>
              </w:rPr>
              <w:t>Detalizētā metode (salīdzināt transakcijas pret attaisnojuma dokumentiem un pārbaudīt vai grāmatojumu klasifikācija ir atbilstoša, t.sk. vai ieņēmumi tiek attiecināti pareizam projektam).</w:t>
            </w:r>
          </w:p>
          <w:p w:rsidR="00BF5120" w:rsidRPr="00AD32A0" w:rsidRDefault="00BF5120" w:rsidP="00BF20A7">
            <w:pPr>
              <w:spacing w:beforeLines="40" w:before="9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lv-LV"/>
              </w:rPr>
            </w:pPr>
            <w:r w:rsidRPr="00AD32A0">
              <w:rPr>
                <w:sz w:val="22"/>
                <w:szCs w:val="22"/>
                <w:lang w:val="lv-LV"/>
              </w:rPr>
              <w:t>Atsevišķi tiek pārbaudītas datu kopa:</w:t>
            </w:r>
          </w:p>
          <w:p w:rsidR="00BF5120" w:rsidRPr="00AD32A0" w:rsidRDefault="00BF5120" w:rsidP="00BF20A7">
            <w:pPr>
              <w:pStyle w:val="Bullet"/>
              <w:spacing w:beforeLines="20" w:before="48" w:after="0"/>
              <w:ind w:left="32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lang w:val="lv-LV"/>
              </w:rPr>
            </w:pPr>
            <w:r w:rsidRPr="00AD32A0">
              <w:rPr>
                <w:rFonts w:cs="Times New Roman"/>
                <w:sz w:val="22"/>
                <w:lang w:val="lv-LV"/>
              </w:rPr>
              <w:t>Visi PO ieņēmumi.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20" w:rsidRPr="00AD32A0" w:rsidRDefault="0085616B" w:rsidP="00AF1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Ieņēmumu transakcijas, v</w:t>
            </w:r>
            <w:r w:rsidRPr="00AD32A0">
              <w:rPr>
                <w:sz w:val="22"/>
                <w:szCs w:val="22"/>
                <w:lang w:val="lv-LV"/>
              </w:rPr>
              <w:t>ismaz 1 no struktūrfondu projekta.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20" w:rsidRPr="00AD32A0" w:rsidRDefault="00BF5120" w:rsidP="00BF20A7">
            <w:pPr>
              <w:pStyle w:val="Bullet"/>
              <w:spacing w:beforeLines="40" w:before="96" w:afterLines="40" w:after="96"/>
              <w:ind w:left="238" w:hanging="23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lang w:val="lv-LV"/>
              </w:rPr>
            </w:pPr>
            <w:r w:rsidRPr="00AD32A0">
              <w:rPr>
                <w:rFonts w:cs="Times New Roman"/>
                <w:sz w:val="22"/>
                <w:lang w:val="lv-LV"/>
              </w:rPr>
              <w:t>Izdruka no PO grāmatvedības sistēmas ar ieņēmumu detalizētu apgrozījumu (pa grāmatojumiem, ar visām grāmatvedības dimensijām)</w:t>
            </w:r>
          </w:p>
        </w:tc>
      </w:tr>
      <w:tr w:rsidR="00BF5120" w:rsidRPr="00AD32A0" w:rsidTr="00FF60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tcBorders>
              <w:right w:val="single" w:sz="4" w:space="0" w:color="auto"/>
            </w:tcBorders>
          </w:tcPr>
          <w:p w:rsidR="00BF5120" w:rsidRPr="00AD32A0" w:rsidRDefault="00BF5120" w:rsidP="00BF20A7">
            <w:pPr>
              <w:spacing w:beforeLines="40" w:before="96" w:afterLines="40" w:after="96"/>
              <w:jc w:val="center"/>
              <w:rPr>
                <w:b w:val="0"/>
                <w:sz w:val="22"/>
                <w:szCs w:val="22"/>
                <w:lang w:val="lv-LV"/>
              </w:rPr>
            </w:pPr>
            <w:r w:rsidRPr="00AD32A0">
              <w:rPr>
                <w:b w:val="0"/>
                <w:sz w:val="22"/>
                <w:szCs w:val="22"/>
                <w:lang w:val="lv-LV"/>
              </w:rPr>
              <w:t>3.2.</w:t>
            </w:r>
          </w:p>
        </w:tc>
        <w:tc>
          <w:tcPr>
            <w:tcW w:w="3743" w:type="dxa"/>
            <w:tcBorders>
              <w:right w:val="single" w:sz="4" w:space="0" w:color="auto"/>
            </w:tcBorders>
          </w:tcPr>
          <w:p w:rsidR="00BF5120" w:rsidRPr="00AD32A0" w:rsidRDefault="00BF5120" w:rsidP="00BF20A7">
            <w:pPr>
              <w:spacing w:beforeLines="40" w:before="96" w:afterLines="40" w:after="9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lv-LV"/>
              </w:rPr>
            </w:pPr>
            <w:r w:rsidRPr="00AD32A0">
              <w:rPr>
                <w:sz w:val="22"/>
                <w:szCs w:val="22"/>
                <w:lang w:val="lv-LV"/>
              </w:rPr>
              <w:t>Honorāru pārbaude par intelektuālo īpašumu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20" w:rsidRPr="00AD32A0" w:rsidRDefault="00BF5120" w:rsidP="00BF20A7">
            <w:pPr>
              <w:spacing w:beforeLines="40" w:before="96" w:afterLines="40" w:after="9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lv-LV"/>
              </w:rPr>
            </w:pPr>
            <w:r w:rsidRPr="00AD32A0">
              <w:rPr>
                <w:sz w:val="22"/>
                <w:szCs w:val="22"/>
                <w:lang w:val="lv-LV"/>
              </w:rPr>
              <w:t>Detalizētā metode (identificēt honorāru ieņēmumu avotu – no kādiem projektiem tie ir radušies</w:t>
            </w:r>
            <w:r w:rsidR="000672AC">
              <w:rPr>
                <w:sz w:val="22"/>
                <w:szCs w:val="22"/>
                <w:lang w:val="lv-LV"/>
              </w:rPr>
              <w:t>)</w:t>
            </w:r>
            <w:r w:rsidRPr="00AD32A0">
              <w:rPr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20" w:rsidRPr="00AD32A0" w:rsidRDefault="00BF5120" w:rsidP="00BF20A7">
            <w:pPr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lv-LV"/>
              </w:rPr>
            </w:pPr>
            <w:r w:rsidRPr="00AD32A0">
              <w:rPr>
                <w:sz w:val="22"/>
                <w:szCs w:val="22"/>
                <w:lang w:val="lv-LV"/>
              </w:rPr>
              <w:t xml:space="preserve">Visi honorāri 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20" w:rsidRPr="00AD32A0" w:rsidRDefault="00BF5120" w:rsidP="00BF20A7">
            <w:pPr>
              <w:pStyle w:val="Bullet"/>
              <w:spacing w:beforeLines="40" w:before="96" w:afterLines="40" w:after="96"/>
              <w:ind w:left="238" w:hanging="23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lang w:val="lv-LV"/>
              </w:rPr>
            </w:pPr>
            <w:r w:rsidRPr="00AD32A0">
              <w:rPr>
                <w:rFonts w:cs="Times New Roman"/>
                <w:sz w:val="22"/>
                <w:lang w:val="lv-LV"/>
              </w:rPr>
              <w:t>Izdruka no PO grāmatvedības sistēmas ar honorāru ieņēmumu detalizētu apgrozījumu</w:t>
            </w:r>
          </w:p>
        </w:tc>
      </w:tr>
      <w:tr w:rsidR="00BF5120" w:rsidRPr="00AB273B" w:rsidTr="00FF6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tcBorders>
              <w:right w:val="single" w:sz="4" w:space="0" w:color="auto"/>
            </w:tcBorders>
          </w:tcPr>
          <w:p w:rsidR="00BF5120" w:rsidRPr="00AD32A0" w:rsidRDefault="00BF5120" w:rsidP="00BF20A7">
            <w:pPr>
              <w:spacing w:beforeLines="40" w:before="96" w:afterLines="40" w:after="96"/>
              <w:jc w:val="center"/>
              <w:rPr>
                <w:b w:val="0"/>
                <w:sz w:val="22"/>
                <w:szCs w:val="22"/>
                <w:lang w:val="lv-LV"/>
              </w:rPr>
            </w:pPr>
            <w:r w:rsidRPr="00AD32A0">
              <w:rPr>
                <w:b w:val="0"/>
                <w:sz w:val="22"/>
                <w:szCs w:val="22"/>
                <w:lang w:val="lv-LV"/>
              </w:rPr>
              <w:t>3.3.</w:t>
            </w:r>
          </w:p>
        </w:tc>
        <w:tc>
          <w:tcPr>
            <w:tcW w:w="3743" w:type="dxa"/>
            <w:tcBorders>
              <w:right w:val="single" w:sz="4" w:space="0" w:color="auto"/>
            </w:tcBorders>
          </w:tcPr>
          <w:p w:rsidR="00BF5120" w:rsidRPr="00AD32A0" w:rsidRDefault="00BF5120" w:rsidP="00BF20A7">
            <w:pPr>
              <w:spacing w:beforeLines="40" w:before="96" w:afterLines="40" w:after="9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lv-LV"/>
              </w:rPr>
            </w:pPr>
            <w:r w:rsidRPr="00AD32A0">
              <w:rPr>
                <w:sz w:val="22"/>
                <w:szCs w:val="22"/>
                <w:lang w:val="lv-LV"/>
              </w:rPr>
              <w:t>PO uzrauga un analizē nesaimnieciskās pamatdarbības ieņēmumus</w:t>
            </w:r>
          </w:p>
          <w:p w:rsidR="00BF5120" w:rsidRPr="00AD32A0" w:rsidRDefault="00BF5120" w:rsidP="00BF20A7">
            <w:pPr>
              <w:spacing w:beforeLines="40" w:before="96" w:afterLines="40" w:after="9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lv-LV"/>
              </w:rPr>
            </w:pPr>
            <w:r w:rsidRPr="00AD32A0">
              <w:rPr>
                <w:sz w:val="22"/>
                <w:szCs w:val="22"/>
                <w:lang w:val="lv-LV"/>
              </w:rPr>
              <w:t xml:space="preserve">Ja nesaimnieciskās pamatdarbības sadaļā esošajā Fondu projektā tiek gūti ieņēmumi 5 gadu periodā pēc darbības pabeigšanas, kas nebija iepriekš paredzēti, tad ieņēmumi ir atskaitīti no </w:t>
            </w:r>
            <w:r w:rsidRPr="00AD32A0">
              <w:rPr>
                <w:sz w:val="22"/>
                <w:szCs w:val="22"/>
                <w:lang w:val="lv-LV"/>
              </w:rPr>
              <w:lastRenderedPageBreak/>
              <w:t>Komisijai deklarētajiem izdevumiem.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20" w:rsidRPr="00AD32A0" w:rsidRDefault="00BF5120" w:rsidP="00BF20A7">
            <w:pPr>
              <w:spacing w:beforeLines="40" w:before="96" w:afterLines="40" w:after="9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lv-LV"/>
              </w:rPr>
            </w:pPr>
            <w:r w:rsidRPr="00AD32A0">
              <w:rPr>
                <w:sz w:val="22"/>
                <w:szCs w:val="22"/>
                <w:lang w:val="lv-LV"/>
              </w:rPr>
              <w:lastRenderedPageBreak/>
              <w:t>Detalizētā metode caurskatot visus fondu finansētos projektus lai identificētu vai tajos ir gūti ieņēmumi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20" w:rsidRPr="00AD32A0" w:rsidRDefault="00BF5120" w:rsidP="00BF20A7">
            <w:pPr>
              <w:spacing w:beforeLines="40" w:before="96" w:afterLines="40" w:after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lv-LV"/>
              </w:rPr>
            </w:pPr>
          </w:p>
          <w:p w:rsidR="00BF5120" w:rsidRPr="00AD32A0" w:rsidRDefault="00BF5120" w:rsidP="00BF20A7">
            <w:pPr>
              <w:spacing w:beforeLines="40" w:before="96" w:afterLines="40" w:after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lv-LV"/>
              </w:rPr>
            </w:pPr>
            <w:r w:rsidRPr="00AD32A0">
              <w:rPr>
                <w:sz w:val="22"/>
                <w:szCs w:val="22"/>
                <w:lang w:val="lv-LV"/>
              </w:rPr>
              <w:t>Visi nesaimnieciskās pamatdarbības ieņēmumi</w:t>
            </w:r>
          </w:p>
          <w:p w:rsidR="00BF5120" w:rsidRPr="00AD32A0" w:rsidRDefault="00BF5120" w:rsidP="00BF20A7">
            <w:pPr>
              <w:pStyle w:val="Bullet"/>
              <w:numPr>
                <w:ilvl w:val="0"/>
                <w:numId w:val="0"/>
              </w:numPr>
              <w:spacing w:beforeLines="40" w:before="96" w:afterLines="40" w:after="96"/>
              <w:ind w:left="100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lang w:val="lv-LV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20" w:rsidRPr="00AD32A0" w:rsidRDefault="00BF5120" w:rsidP="00BF20A7">
            <w:pPr>
              <w:pStyle w:val="Bullet"/>
              <w:spacing w:beforeLines="40" w:before="96" w:afterLines="40" w:after="96"/>
              <w:ind w:left="238" w:hanging="23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lang w:val="lv-LV"/>
              </w:rPr>
            </w:pPr>
            <w:r w:rsidRPr="00AD32A0">
              <w:rPr>
                <w:rFonts w:cs="Times New Roman"/>
                <w:sz w:val="22"/>
                <w:lang w:val="lv-LV"/>
              </w:rPr>
              <w:t>Fondu finansēto projektu g</w:t>
            </w:r>
            <w:r w:rsidR="002133D4">
              <w:rPr>
                <w:rFonts w:cs="Times New Roman"/>
                <w:sz w:val="22"/>
                <w:lang w:val="lv-LV"/>
              </w:rPr>
              <w:t>rāmatvedības detalizēta izdruka.</w:t>
            </w:r>
          </w:p>
        </w:tc>
      </w:tr>
      <w:tr w:rsidR="00BF5120" w:rsidRPr="00AD32A0" w:rsidTr="00FF60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tcBorders>
              <w:right w:val="single" w:sz="4" w:space="0" w:color="auto"/>
            </w:tcBorders>
          </w:tcPr>
          <w:p w:rsidR="00BF5120" w:rsidRPr="00AD32A0" w:rsidRDefault="00BF5120" w:rsidP="00BF20A7">
            <w:pPr>
              <w:spacing w:beforeLines="40" w:before="96" w:afterLines="40" w:after="96"/>
              <w:jc w:val="center"/>
              <w:rPr>
                <w:b w:val="0"/>
                <w:sz w:val="22"/>
                <w:szCs w:val="22"/>
                <w:lang w:val="lv-LV"/>
              </w:rPr>
            </w:pPr>
            <w:r w:rsidRPr="00AD32A0">
              <w:rPr>
                <w:b w:val="0"/>
                <w:sz w:val="22"/>
                <w:szCs w:val="22"/>
                <w:lang w:val="lv-LV"/>
              </w:rPr>
              <w:lastRenderedPageBreak/>
              <w:t>3.4.</w:t>
            </w:r>
          </w:p>
        </w:tc>
        <w:tc>
          <w:tcPr>
            <w:tcW w:w="3743" w:type="dxa"/>
            <w:tcBorders>
              <w:right w:val="single" w:sz="4" w:space="0" w:color="auto"/>
            </w:tcBorders>
          </w:tcPr>
          <w:p w:rsidR="00BF5120" w:rsidRPr="00AD32A0" w:rsidRDefault="00BF5120" w:rsidP="00BF20A7">
            <w:pPr>
              <w:spacing w:beforeLines="40" w:before="96" w:afterLines="40" w:after="9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lv-LV"/>
              </w:rPr>
            </w:pPr>
            <w:r w:rsidRPr="00AD32A0">
              <w:rPr>
                <w:sz w:val="22"/>
                <w:szCs w:val="22"/>
                <w:lang w:val="lv-LV"/>
              </w:rPr>
              <w:t xml:space="preserve">Tirgus cenas noteikšanā tiek pielietota atbilstoša metode, tās izvēle ir pamatota ar situācijas analīzi. Analīze ir dokumentēta un ir izsekojama. 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20" w:rsidRPr="00AD32A0" w:rsidRDefault="00BF5120" w:rsidP="00BF20A7">
            <w:pPr>
              <w:spacing w:beforeLines="40" w:before="96" w:afterLines="40" w:after="9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lv-LV"/>
              </w:rPr>
            </w:pPr>
            <w:r w:rsidRPr="00AD32A0">
              <w:rPr>
                <w:sz w:val="22"/>
                <w:szCs w:val="22"/>
                <w:lang w:val="lv-LV"/>
              </w:rPr>
              <w:t xml:space="preserve">Detalizētā metode, caurskatot tirgus cenas noteikšanas piemērošanu pakalpojumu, produktu, tehnoloģiju, prototipu un intelektuālo īpašumu projektiem (peļņas centriem), saskaņā ar grāmatvedības politiku, katrai unikālajai tirgus cenas noteikšanas metodei. </w:t>
            </w:r>
          </w:p>
          <w:p w:rsidR="00BF5120" w:rsidRPr="00AD32A0" w:rsidRDefault="00BF5120" w:rsidP="00BF20A7">
            <w:pPr>
              <w:spacing w:beforeLines="20" w:before="48" w:afterLines="20" w:after="4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lv-LV"/>
              </w:rPr>
            </w:pPr>
            <w:r w:rsidRPr="00AD32A0">
              <w:rPr>
                <w:sz w:val="22"/>
                <w:szCs w:val="22"/>
                <w:lang w:val="lv-LV"/>
              </w:rPr>
              <w:t>Pārbaude ietver:</w:t>
            </w:r>
          </w:p>
          <w:p w:rsidR="00BF5120" w:rsidRPr="00AD32A0" w:rsidRDefault="00BF5120" w:rsidP="00BF20A7">
            <w:pPr>
              <w:pStyle w:val="Bullet"/>
              <w:spacing w:beforeLines="20" w:before="48" w:afterLines="20" w:after="48"/>
              <w:ind w:left="32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lang w:val="lv-LV"/>
              </w:rPr>
            </w:pPr>
            <w:r w:rsidRPr="00AD32A0">
              <w:rPr>
                <w:rFonts w:cs="Times New Roman"/>
                <w:sz w:val="22"/>
                <w:lang w:val="lv-LV"/>
              </w:rPr>
              <w:t>Pārbaude pret politiku;</w:t>
            </w:r>
          </w:p>
          <w:p w:rsidR="00BF5120" w:rsidRPr="00AD32A0" w:rsidRDefault="00BF5120" w:rsidP="00BF20A7">
            <w:pPr>
              <w:pStyle w:val="Bullet"/>
              <w:spacing w:beforeLines="20" w:before="48" w:afterLines="20" w:after="48"/>
              <w:ind w:left="32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lang w:val="lv-LV"/>
              </w:rPr>
            </w:pPr>
            <w:r w:rsidRPr="00AD32A0">
              <w:rPr>
                <w:rFonts w:cs="Times New Roman"/>
                <w:sz w:val="22"/>
                <w:lang w:val="lv-LV"/>
              </w:rPr>
              <w:t>Ievaddatu pārbaude (pret grāmatvedības vai ārējām atskaitēm);</w:t>
            </w:r>
          </w:p>
          <w:p w:rsidR="00BF5120" w:rsidRPr="00AD32A0" w:rsidRDefault="00BF5120" w:rsidP="00BF20A7">
            <w:pPr>
              <w:pStyle w:val="Bullet"/>
              <w:spacing w:beforeLines="20" w:before="48" w:afterLines="20" w:after="48"/>
              <w:ind w:left="32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lang w:val="lv-LV"/>
              </w:rPr>
            </w:pPr>
            <w:r w:rsidRPr="00AD32A0">
              <w:rPr>
                <w:rFonts w:cs="Times New Roman"/>
                <w:sz w:val="22"/>
                <w:lang w:val="lv-LV"/>
              </w:rPr>
              <w:t>Formulu pareizība.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20" w:rsidRPr="00AD32A0" w:rsidRDefault="00BF5120" w:rsidP="002133D4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lv-LV"/>
              </w:rPr>
            </w:pPr>
            <w:r w:rsidRPr="00AD32A0">
              <w:rPr>
                <w:sz w:val="22"/>
                <w:szCs w:val="22"/>
                <w:lang w:val="lv-LV"/>
              </w:rPr>
              <w:t>1 pārbaude katrai unikālajai tirgus cenas noteikšanas</w:t>
            </w:r>
            <w:r w:rsidR="002133D4">
              <w:rPr>
                <w:sz w:val="22"/>
                <w:szCs w:val="22"/>
                <w:lang w:val="lv-LV"/>
              </w:rPr>
              <w:t xml:space="preserve"> metodei – sākotnējās izpratnes</w:t>
            </w:r>
            <w:r w:rsidRPr="00AD32A0">
              <w:rPr>
                <w:sz w:val="22"/>
                <w:szCs w:val="22"/>
                <w:lang w:val="lv-LV"/>
              </w:rPr>
              <w:t xml:space="preserve"> pārbaudes ietvaros.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20" w:rsidRPr="00AD32A0" w:rsidRDefault="00BF5120" w:rsidP="00BF20A7">
            <w:pPr>
              <w:pStyle w:val="Bullet"/>
              <w:spacing w:beforeLines="40" w:before="96" w:afterLines="40" w:after="96"/>
              <w:ind w:left="238" w:hanging="23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lang w:val="lv-LV"/>
              </w:rPr>
            </w:pPr>
            <w:r w:rsidRPr="00AD32A0">
              <w:rPr>
                <w:rFonts w:cs="Times New Roman"/>
                <w:sz w:val="22"/>
                <w:lang w:val="lv-LV"/>
              </w:rPr>
              <w:t>Tirgus cenas noteikšanas aprēķins atbilstošiem līgumiem.</w:t>
            </w:r>
          </w:p>
        </w:tc>
      </w:tr>
      <w:tr w:rsidR="00BF5120" w:rsidRPr="00AD32A0" w:rsidTr="00FF6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tcBorders>
              <w:right w:val="single" w:sz="4" w:space="0" w:color="auto"/>
            </w:tcBorders>
          </w:tcPr>
          <w:p w:rsidR="00BF5120" w:rsidRPr="00AD32A0" w:rsidRDefault="00BF5120" w:rsidP="00BF20A7">
            <w:pPr>
              <w:spacing w:beforeLines="40" w:before="96" w:afterLines="40" w:after="96"/>
              <w:jc w:val="center"/>
              <w:rPr>
                <w:b w:val="0"/>
                <w:sz w:val="22"/>
                <w:szCs w:val="22"/>
                <w:lang w:val="lv-LV"/>
              </w:rPr>
            </w:pPr>
            <w:r w:rsidRPr="00AD32A0">
              <w:rPr>
                <w:b w:val="0"/>
                <w:sz w:val="22"/>
                <w:szCs w:val="22"/>
                <w:lang w:val="lv-LV"/>
              </w:rPr>
              <w:t>3.5.</w:t>
            </w:r>
          </w:p>
        </w:tc>
        <w:tc>
          <w:tcPr>
            <w:tcW w:w="3743" w:type="dxa"/>
            <w:tcBorders>
              <w:right w:val="single" w:sz="4" w:space="0" w:color="auto"/>
            </w:tcBorders>
          </w:tcPr>
          <w:p w:rsidR="00BF5120" w:rsidRPr="00AD32A0" w:rsidRDefault="00BF5120" w:rsidP="00BF20A7">
            <w:pPr>
              <w:spacing w:beforeLines="40" w:before="96" w:afterLines="40" w:after="9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lv-LV"/>
              </w:rPr>
            </w:pPr>
            <w:r w:rsidRPr="00AD32A0">
              <w:rPr>
                <w:sz w:val="22"/>
                <w:szCs w:val="22"/>
                <w:lang w:val="lv-LV"/>
              </w:rPr>
              <w:t>Nesaimnieciskajā pamatdarbībā gūtie neto ieņēmumi tiek reinvestēti tikai nesaimnieciskajā pamatdarbībā.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20" w:rsidRPr="00AD32A0" w:rsidRDefault="007405B8" w:rsidP="00BF20A7">
            <w:pPr>
              <w:spacing w:beforeLines="40" w:before="96" w:afterLines="40" w:after="9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</w:t>
            </w:r>
            <w:r w:rsidR="00BF5120" w:rsidRPr="00AD32A0">
              <w:rPr>
                <w:sz w:val="22"/>
                <w:szCs w:val="22"/>
                <w:lang w:val="lv-LV"/>
              </w:rPr>
              <w:t>rincip</w:t>
            </w:r>
            <w:r>
              <w:rPr>
                <w:sz w:val="22"/>
                <w:szCs w:val="22"/>
                <w:lang w:val="lv-LV"/>
              </w:rPr>
              <w:t>i</w:t>
            </w:r>
            <w:r w:rsidR="00BF5120" w:rsidRPr="00AD32A0">
              <w:rPr>
                <w:sz w:val="22"/>
                <w:szCs w:val="22"/>
                <w:lang w:val="lv-LV"/>
              </w:rPr>
              <w:t xml:space="preserve"> un kontroles kā nodrošina šīs prasības izpildi. Detalizētā metode caurskatot reinvestēšanas procesu saskaņā ar grāmatvedības politiku atlasītajam projektam.</w:t>
            </w:r>
          </w:p>
          <w:p w:rsidR="00BF5120" w:rsidRPr="00AD32A0" w:rsidRDefault="00BF5120" w:rsidP="00BF20A7">
            <w:pPr>
              <w:spacing w:beforeLines="40" w:before="96" w:afterLines="40" w:after="9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lv-LV"/>
              </w:rPr>
            </w:pPr>
            <w:r w:rsidRPr="00AD32A0">
              <w:rPr>
                <w:sz w:val="22"/>
                <w:szCs w:val="22"/>
                <w:lang w:val="lv-LV"/>
              </w:rPr>
              <w:t xml:space="preserve">Pārliecināties par to vai PO ir bijusi peļņa par pārskata periodu un ja jā, vai </w:t>
            </w:r>
            <w:bookmarkStart w:id="2" w:name="_GoBack"/>
            <w:bookmarkEnd w:id="2"/>
            <w:r w:rsidRPr="00AD32A0">
              <w:rPr>
                <w:sz w:val="22"/>
                <w:szCs w:val="22"/>
                <w:lang w:val="lv-LV"/>
              </w:rPr>
              <w:t>tā ir tikusi sadalīta un izmaksāta dividendēs.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20" w:rsidRPr="00AD32A0" w:rsidRDefault="0085616B" w:rsidP="00BF20A7">
            <w:pPr>
              <w:spacing w:beforeLines="40" w:before="96" w:afterLines="40" w:after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Principu izpratne</w:t>
            </w:r>
            <w:r w:rsidR="00BF5120" w:rsidRPr="00AD32A0">
              <w:rPr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20" w:rsidRPr="00AD32A0" w:rsidRDefault="00BF5120" w:rsidP="00BF20A7">
            <w:pPr>
              <w:pStyle w:val="Bullet"/>
              <w:numPr>
                <w:ilvl w:val="0"/>
                <w:numId w:val="0"/>
              </w:numPr>
              <w:spacing w:beforeLines="40" w:before="96" w:afterLines="40" w:after="9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lang w:val="lv-LV"/>
              </w:rPr>
            </w:pPr>
          </w:p>
        </w:tc>
      </w:tr>
    </w:tbl>
    <w:p w:rsidR="008E1A59" w:rsidRPr="00BF5120" w:rsidRDefault="00C56E6A">
      <w:pPr>
        <w:rPr>
          <w:lang w:val="lv-LV"/>
        </w:rPr>
      </w:pPr>
    </w:p>
    <w:sectPr w:rsidR="008E1A59" w:rsidRPr="00BF5120" w:rsidSect="00CD3008">
      <w:headerReference w:type="default" r:id="rId14"/>
      <w:footerReference w:type="default" r:id="rId15"/>
      <w:pgSz w:w="16838" w:h="11906" w:orient="landscape"/>
      <w:pgMar w:top="1276" w:right="144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E6A" w:rsidRDefault="00C56E6A" w:rsidP="00BF5120">
      <w:r>
        <w:separator/>
      </w:r>
    </w:p>
  </w:endnote>
  <w:endnote w:type="continuationSeparator" w:id="0">
    <w:p w:rsidR="00C56E6A" w:rsidRDefault="00C56E6A" w:rsidP="00BF5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45 Light">
    <w:altName w:val="Arial"/>
    <w:charset w:val="00"/>
    <w:family w:val="auto"/>
    <w:pitch w:val="variable"/>
    <w:sig w:usb0="8000002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60475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5120" w:rsidRDefault="00AD32A0" w:rsidP="00AD32A0">
        <w:pPr>
          <w:pStyle w:val="Footer"/>
          <w:tabs>
            <w:tab w:val="left" w:pos="2595"/>
            <w:tab w:val="right" w:pos="13958"/>
          </w:tabs>
        </w:pPr>
        <w:r>
          <w:tab/>
        </w:r>
        <w:r>
          <w:tab/>
        </w:r>
        <w:r>
          <w:tab/>
        </w:r>
        <w:r>
          <w:tab/>
        </w:r>
        <w:r w:rsidR="002F6BB1">
          <w:fldChar w:fldCharType="begin"/>
        </w:r>
        <w:r w:rsidR="00BF5120">
          <w:instrText xml:space="preserve"> PAGE   \* MERGEFORMAT </w:instrText>
        </w:r>
        <w:r w:rsidR="002F6BB1">
          <w:fldChar w:fldCharType="separate"/>
        </w:r>
        <w:r w:rsidR="000672AC">
          <w:rPr>
            <w:noProof/>
          </w:rPr>
          <w:t>1</w:t>
        </w:r>
        <w:r w:rsidR="002F6BB1">
          <w:rPr>
            <w:noProof/>
          </w:rPr>
          <w:fldChar w:fldCharType="end"/>
        </w:r>
      </w:p>
    </w:sdtContent>
  </w:sdt>
  <w:p w:rsidR="00BF5120" w:rsidRDefault="00BF51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E6A" w:rsidRDefault="00C56E6A" w:rsidP="00BF5120">
      <w:r>
        <w:separator/>
      </w:r>
    </w:p>
  </w:footnote>
  <w:footnote w:type="continuationSeparator" w:id="0">
    <w:p w:rsidR="00C56E6A" w:rsidRDefault="00C56E6A" w:rsidP="00BF5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0D5" w:rsidRPr="00A910D5" w:rsidRDefault="00A910D5" w:rsidP="00A910D5">
    <w:pPr>
      <w:jc w:val="right"/>
      <w:rPr>
        <w:bCs/>
        <w:lang w:val="lv-LV"/>
      </w:rPr>
    </w:pPr>
    <w:r w:rsidRPr="00A910D5">
      <w:rPr>
        <w:lang w:val="lv-LV"/>
      </w:rPr>
      <w:t>Organizācijas finanšu kontroļu pašnovērtējums</w:t>
    </w:r>
    <w:r w:rsidRPr="00A910D5">
      <w:rPr>
        <w:bCs/>
        <w:lang w:val="lv-LV"/>
      </w:rPr>
      <w:t xml:space="preserve"> </w:t>
    </w:r>
  </w:p>
  <w:p w:rsidR="00A910D5" w:rsidRPr="00A910D5" w:rsidRDefault="00A910D5" w:rsidP="00A910D5">
    <w:pPr>
      <w:jc w:val="right"/>
      <w:rPr>
        <w:lang w:val="lv-LV"/>
      </w:rPr>
    </w:pPr>
    <w:r w:rsidRPr="00A910D5">
      <w:rPr>
        <w:bCs/>
        <w:lang w:val="lv-LV"/>
      </w:rPr>
      <w:t xml:space="preserve">finansējuma saņēmējiem </w:t>
    </w:r>
    <w:r w:rsidRPr="00A910D5">
      <w:rPr>
        <w:lang w:val="lv-LV"/>
      </w:rPr>
      <w:t xml:space="preserve">ERAF </w:t>
    </w:r>
    <w:r w:rsidRPr="00A910D5">
      <w:rPr>
        <w:rStyle w:val="Strong"/>
        <w:b w:val="0"/>
        <w:color w:val="000000"/>
        <w:lang w:val="lv-LV"/>
      </w:rPr>
      <w:t>aktivitātēs</w:t>
    </w:r>
    <w:r w:rsidRPr="00A910D5">
      <w:rPr>
        <w:iCs/>
        <w:lang w:val="lv-LV"/>
      </w:rPr>
      <w:t xml:space="preserve"> </w:t>
    </w:r>
    <w:r w:rsidRPr="00A910D5">
      <w:rPr>
        <w:bCs/>
        <w:lang w:val="lv-LV" w:eastAsia="lv-LV"/>
      </w:rPr>
      <w:t>„Atbalsts zinātnei un pētniecībai” (2.1.1.1.) un</w:t>
    </w:r>
    <w:r w:rsidRPr="00A910D5">
      <w:rPr>
        <w:lang w:val="lv-LV"/>
      </w:rPr>
      <w:t xml:space="preserve"> </w:t>
    </w:r>
  </w:p>
  <w:p w:rsidR="00A910D5" w:rsidRPr="00A910D5" w:rsidRDefault="00A910D5" w:rsidP="00A910D5">
    <w:pPr>
      <w:jc w:val="right"/>
      <w:rPr>
        <w:bCs/>
        <w:lang w:val="lv-LV" w:eastAsia="lv-LV"/>
      </w:rPr>
    </w:pPr>
    <w:r w:rsidRPr="00A910D5">
      <w:rPr>
        <w:lang w:val="lv-LV"/>
      </w:rPr>
      <w:t>„Zinātnes infrastruktūras attīstība” (2.1.1.3.1., pirmā kārta)</w:t>
    </w:r>
  </w:p>
  <w:p w:rsidR="00CE3491" w:rsidRDefault="00CE3491" w:rsidP="00CE349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90803"/>
    <w:multiLevelType w:val="multilevel"/>
    <w:tmpl w:val="8D2688A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772DD"/>
    <w:multiLevelType w:val="multilevel"/>
    <w:tmpl w:val="8D2688A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96892"/>
    <w:multiLevelType w:val="hybridMultilevel"/>
    <w:tmpl w:val="8D2688A8"/>
    <w:lvl w:ilvl="0" w:tplc="573646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531FF"/>
    <w:multiLevelType w:val="multilevel"/>
    <w:tmpl w:val="76D2BC4C"/>
    <w:lvl w:ilvl="0">
      <w:start w:val="1"/>
      <w:numFmt w:val="decimal"/>
      <w:pStyle w:val="Heading1"/>
      <w:lvlText w:val="%1."/>
      <w:lvlJc w:val="left"/>
      <w:pPr>
        <w:ind w:left="850" w:hanging="850"/>
      </w:pPr>
      <w:rPr>
        <w:rFonts w:ascii="Times New Roman" w:hAnsi="Times New Roman" w:hint="default"/>
        <w:b/>
        <w:i w:val="0"/>
        <w:color w:val="FFC000" w:themeColor="accent4"/>
      </w:rPr>
    </w:lvl>
    <w:lvl w:ilvl="1">
      <w:start w:val="1"/>
      <w:numFmt w:val="decimal"/>
      <w:pStyle w:val="Heading2"/>
      <w:lvlText w:val="%1.%2"/>
      <w:lvlJc w:val="left"/>
      <w:pPr>
        <w:ind w:left="3969" w:hanging="850"/>
      </w:pPr>
      <w:rPr>
        <w:b/>
        <w:i w:val="0"/>
      </w:rPr>
    </w:lvl>
    <w:lvl w:ilvl="2">
      <w:start w:val="1"/>
      <w:numFmt w:val="decimal"/>
      <w:pStyle w:val="Heading3"/>
      <w:lvlText w:val="%1.%2.%3"/>
      <w:lvlJc w:val="left"/>
      <w:pPr>
        <w:ind w:left="850" w:hanging="850"/>
      </w:pPr>
      <w:rPr>
        <w:b w:val="0"/>
        <w:i w:val="0"/>
      </w:rPr>
    </w:lvl>
    <w:lvl w:ilvl="3">
      <w:start w:val="1"/>
      <w:numFmt w:val="decimal"/>
      <w:pStyle w:val="Heading4"/>
      <w:lvlText w:val="%1.%2.%3.%4"/>
      <w:lvlJc w:val="left"/>
      <w:pPr>
        <w:ind w:left="850" w:hanging="850"/>
      </w:pPr>
      <w:rPr>
        <w:b w:val="0"/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72D6F49"/>
    <w:multiLevelType w:val="multilevel"/>
    <w:tmpl w:val="CC4AD4BE"/>
    <w:lvl w:ilvl="0">
      <w:start w:val="1"/>
      <w:numFmt w:val="bullet"/>
      <w:pStyle w:val="Bullet"/>
      <w:lvlText w:val="■"/>
      <w:lvlJc w:val="left"/>
      <w:pPr>
        <w:ind w:left="1004" w:hanging="284"/>
      </w:pPr>
      <w:rPr>
        <w:rFonts w:ascii="Arial" w:hAnsi="Arial" w:hint="default"/>
        <w:color w:val="97989A"/>
        <w:sz w:val="24"/>
      </w:rPr>
    </w:lvl>
    <w:lvl w:ilvl="1">
      <w:start w:val="1"/>
      <w:numFmt w:val="bullet"/>
      <w:lvlText w:val="–"/>
      <w:lvlJc w:val="left"/>
      <w:pPr>
        <w:ind w:left="1287" w:hanging="283"/>
      </w:pPr>
      <w:rPr>
        <w:rFonts w:ascii="Arial" w:hAnsi="Arial" w:hint="default"/>
        <w:color w:val="97989A"/>
      </w:rPr>
    </w:lvl>
    <w:lvl w:ilvl="2">
      <w:start w:val="1"/>
      <w:numFmt w:val="bullet"/>
      <w:lvlRestart w:val="1"/>
      <w:lvlText w:val="■"/>
      <w:lvlJc w:val="left"/>
      <w:pPr>
        <w:tabs>
          <w:tab w:val="num" w:pos="1571"/>
        </w:tabs>
        <w:ind w:left="1571" w:hanging="284"/>
      </w:pPr>
      <w:rPr>
        <w:rFonts w:ascii="Arial" w:hAnsi="Arial" w:hint="default"/>
        <w:color w:val="97989A"/>
      </w:rPr>
    </w:lvl>
    <w:lvl w:ilvl="3">
      <w:start w:val="1"/>
      <w:numFmt w:val="bullet"/>
      <w:lvlText w:val="–"/>
      <w:lvlJc w:val="left"/>
      <w:pPr>
        <w:ind w:left="1854" w:hanging="283"/>
      </w:pPr>
      <w:rPr>
        <w:rFonts w:ascii="Arial" w:hAnsi="Arial" w:hint="default"/>
        <w:color w:val="97989A"/>
      </w:rPr>
    </w:lvl>
    <w:lvl w:ilvl="4">
      <w:start w:val="1"/>
      <w:numFmt w:val="bullet"/>
      <w:lvlText w:val="■"/>
      <w:lvlJc w:val="left"/>
      <w:pPr>
        <w:ind w:left="2421" w:hanging="281"/>
      </w:pPr>
      <w:rPr>
        <w:rFonts w:ascii="Arial" w:hAnsi="Arial" w:hint="default"/>
        <w:color w:val="97989A"/>
      </w:rPr>
    </w:lvl>
    <w:lvl w:ilvl="5">
      <w:start w:val="1"/>
      <w:numFmt w:val="bullet"/>
      <w:lvlText w:val="–"/>
      <w:lvlJc w:val="left"/>
      <w:pPr>
        <w:ind w:left="2786" w:hanging="362"/>
      </w:pPr>
      <w:rPr>
        <w:rFonts w:ascii="Arial" w:hAnsi="Arial" w:hint="default"/>
        <w:color w:val="97989A"/>
      </w:rPr>
    </w:lvl>
    <w:lvl w:ilvl="6">
      <w:start w:val="1"/>
      <w:numFmt w:val="bullet"/>
      <w:lvlText w:val=""/>
      <w:lvlJc w:val="left"/>
      <w:pPr>
        <w:ind w:left="3070" w:hanging="36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354" w:hanging="36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38" w:hanging="362"/>
      </w:pPr>
      <w:rPr>
        <w:rFonts w:ascii="Wingdings" w:hAnsi="Wingdings" w:hint="default"/>
      </w:rPr>
    </w:lvl>
  </w:abstractNum>
  <w:abstractNum w:abstractNumId="5">
    <w:nsid w:val="6C1F220F"/>
    <w:multiLevelType w:val="multilevel"/>
    <w:tmpl w:val="8D2688A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5120"/>
    <w:rsid w:val="000672AC"/>
    <w:rsid w:val="00175D3F"/>
    <w:rsid w:val="002133D4"/>
    <w:rsid w:val="00295E26"/>
    <w:rsid w:val="002F6BB1"/>
    <w:rsid w:val="006840BA"/>
    <w:rsid w:val="006856EE"/>
    <w:rsid w:val="00724BCD"/>
    <w:rsid w:val="007405B8"/>
    <w:rsid w:val="00795D86"/>
    <w:rsid w:val="0085616B"/>
    <w:rsid w:val="009217E1"/>
    <w:rsid w:val="00986B13"/>
    <w:rsid w:val="009C54B5"/>
    <w:rsid w:val="009D1C91"/>
    <w:rsid w:val="00A910D5"/>
    <w:rsid w:val="00AB273B"/>
    <w:rsid w:val="00AD32A0"/>
    <w:rsid w:val="00B30395"/>
    <w:rsid w:val="00BC4113"/>
    <w:rsid w:val="00BF20A7"/>
    <w:rsid w:val="00BF5120"/>
    <w:rsid w:val="00C304D2"/>
    <w:rsid w:val="00C56E6A"/>
    <w:rsid w:val="00CD1840"/>
    <w:rsid w:val="00CD3008"/>
    <w:rsid w:val="00CE3491"/>
    <w:rsid w:val="00DD7804"/>
    <w:rsid w:val="00E90205"/>
    <w:rsid w:val="00EB7784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F5120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next w:val="Heading2"/>
    <w:link w:val="Heading1Char"/>
    <w:autoRedefine/>
    <w:qFormat/>
    <w:rsid w:val="00BF5120"/>
    <w:pPr>
      <w:keepNext/>
      <w:pageBreakBefore/>
      <w:numPr>
        <w:numId w:val="2"/>
      </w:numPr>
      <w:tabs>
        <w:tab w:val="left" w:pos="851"/>
      </w:tabs>
      <w:spacing w:after="500"/>
      <w:outlineLvl w:val="0"/>
    </w:pPr>
    <w:rPr>
      <w:b/>
      <w:bCs/>
      <w:color w:val="00338D"/>
      <w:kern w:val="32"/>
      <w:sz w:val="44"/>
      <w:szCs w:val="44"/>
      <w:lang w:val="lv-LV"/>
    </w:rPr>
  </w:style>
  <w:style w:type="paragraph" w:styleId="Heading2">
    <w:name w:val="heading 2"/>
    <w:basedOn w:val="Normal"/>
    <w:next w:val="Heading3"/>
    <w:link w:val="Heading2Char"/>
    <w:qFormat/>
    <w:rsid w:val="00BF5120"/>
    <w:pPr>
      <w:keepNext/>
      <w:numPr>
        <w:ilvl w:val="1"/>
        <w:numId w:val="2"/>
      </w:numPr>
      <w:tabs>
        <w:tab w:val="left" w:pos="1134"/>
      </w:tabs>
      <w:spacing w:before="280" w:after="140"/>
      <w:outlineLvl w:val="1"/>
    </w:pPr>
    <w:rPr>
      <w:rFonts w:eastAsiaTheme="minorHAnsi" w:cstheme="minorBidi"/>
      <w:b/>
      <w:color w:val="00338D"/>
      <w:sz w:val="28"/>
      <w:szCs w:val="22"/>
    </w:rPr>
  </w:style>
  <w:style w:type="paragraph" w:styleId="Heading3">
    <w:name w:val="heading 3"/>
    <w:basedOn w:val="Normal"/>
    <w:next w:val="Normal"/>
    <w:link w:val="Heading3Char"/>
    <w:qFormat/>
    <w:rsid w:val="00BF5120"/>
    <w:pPr>
      <w:keepNext/>
      <w:numPr>
        <w:ilvl w:val="2"/>
        <w:numId w:val="2"/>
      </w:numPr>
      <w:tabs>
        <w:tab w:val="left" w:pos="1134"/>
      </w:tabs>
      <w:spacing w:before="140"/>
      <w:outlineLvl w:val="2"/>
    </w:pPr>
    <w:rPr>
      <w:color w:val="44546A" w:themeColor="text2"/>
      <w:sz w:val="24"/>
    </w:rPr>
  </w:style>
  <w:style w:type="paragraph" w:styleId="Heading4">
    <w:name w:val="heading 4"/>
    <w:basedOn w:val="Normal"/>
    <w:next w:val="Normal"/>
    <w:link w:val="Heading4Char"/>
    <w:qFormat/>
    <w:rsid w:val="00BF5120"/>
    <w:pPr>
      <w:keepNext/>
      <w:numPr>
        <w:ilvl w:val="3"/>
        <w:numId w:val="2"/>
      </w:numPr>
      <w:tabs>
        <w:tab w:val="left" w:pos="1134"/>
      </w:tabs>
      <w:spacing w:before="140"/>
      <w:outlineLvl w:val="3"/>
    </w:pPr>
    <w:rPr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1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120"/>
  </w:style>
  <w:style w:type="paragraph" w:styleId="Footer">
    <w:name w:val="footer"/>
    <w:basedOn w:val="Normal"/>
    <w:link w:val="FooterChar"/>
    <w:uiPriority w:val="99"/>
    <w:unhideWhenUsed/>
    <w:rsid w:val="00BF51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120"/>
  </w:style>
  <w:style w:type="character" w:customStyle="1" w:styleId="Heading1Char">
    <w:name w:val="Heading 1 Char"/>
    <w:basedOn w:val="DefaultParagraphFont"/>
    <w:link w:val="Heading1"/>
    <w:rsid w:val="00BF5120"/>
    <w:rPr>
      <w:rFonts w:ascii="Times New Roman" w:eastAsia="Times New Roman" w:hAnsi="Times New Roman" w:cs="Times New Roman"/>
      <w:b/>
      <w:bCs/>
      <w:color w:val="00338D"/>
      <w:kern w:val="32"/>
      <w:sz w:val="44"/>
      <w:szCs w:val="44"/>
      <w:lang w:val="lv-LV"/>
    </w:rPr>
  </w:style>
  <w:style w:type="character" w:customStyle="1" w:styleId="Heading2Char">
    <w:name w:val="Heading 2 Char"/>
    <w:basedOn w:val="DefaultParagraphFont"/>
    <w:link w:val="Heading2"/>
    <w:rsid w:val="00BF5120"/>
    <w:rPr>
      <w:rFonts w:ascii="Times New Roman" w:hAnsi="Times New Roman"/>
      <w:b/>
      <w:color w:val="00338D"/>
      <w:sz w:val="28"/>
    </w:rPr>
  </w:style>
  <w:style w:type="character" w:customStyle="1" w:styleId="Heading3Char">
    <w:name w:val="Heading 3 Char"/>
    <w:basedOn w:val="DefaultParagraphFont"/>
    <w:link w:val="Heading3"/>
    <w:rsid w:val="00BF5120"/>
    <w:rPr>
      <w:rFonts w:ascii="Times New Roman" w:eastAsia="Times New Roman" w:hAnsi="Times New Roman" w:cs="Times New Roman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F5120"/>
    <w:rPr>
      <w:rFonts w:ascii="Times New Roman" w:eastAsia="Times New Roman" w:hAnsi="Times New Roman" w:cs="Times New Roman"/>
      <w:color w:val="44546A" w:themeColor="text2"/>
      <w:szCs w:val="24"/>
    </w:rPr>
  </w:style>
  <w:style w:type="paragraph" w:styleId="Caption">
    <w:name w:val="caption"/>
    <w:basedOn w:val="Normal"/>
    <w:next w:val="Normal"/>
    <w:unhideWhenUsed/>
    <w:qFormat/>
    <w:rsid w:val="00BF5120"/>
    <w:pPr>
      <w:keepNext/>
      <w:spacing w:before="140" w:after="140"/>
    </w:pPr>
    <w:rPr>
      <w:rFonts w:eastAsia="Univers 45 Light"/>
      <w:b/>
      <w:bCs/>
      <w:i/>
      <w:color w:val="00338D"/>
      <w:szCs w:val="20"/>
      <w:lang w:val="lv-LV"/>
    </w:rPr>
  </w:style>
  <w:style w:type="paragraph" w:customStyle="1" w:styleId="Bullet">
    <w:name w:val="Bullet"/>
    <w:basedOn w:val="Normal"/>
    <w:qFormat/>
    <w:rsid w:val="00BF5120"/>
    <w:pPr>
      <w:numPr>
        <w:numId w:val="1"/>
      </w:numPr>
      <w:spacing w:before="70" w:after="70"/>
    </w:pPr>
    <w:rPr>
      <w:rFonts w:eastAsiaTheme="minorHAnsi" w:cstheme="minorBidi"/>
      <w:szCs w:val="22"/>
    </w:rPr>
  </w:style>
  <w:style w:type="table" w:customStyle="1" w:styleId="LightList1">
    <w:name w:val="Light List1"/>
    <w:basedOn w:val="TableNormal"/>
    <w:uiPriority w:val="61"/>
    <w:rsid w:val="00BF5120"/>
    <w:pPr>
      <w:spacing w:after="0" w:line="240" w:lineRule="auto"/>
    </w:pPr>
    <w:rPr>
      <w:rFonts w:ascii="Univers 45 Light" w:eastAsia="Times New Roman" w:hAnsi="Univers 45 Light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D78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804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856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6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6E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6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6E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910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cid:image002.jpg@01CCEFE2.637AA09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B6438-8B22-4747-97A6-BF28FA9F0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2014-11-05T19:34:00Z</cp:lastPrinted>
  <dcterms:created xsi:type="dcterms:W3CDTF">2014-11-07T06:49:00Z</dcterms:created>
  <dcterms:modified xsi:type="dcterms:W3CDTF">2015-09-28T16:25:00Z</dcterms:modified>
</cp:coreProperties>
</file>